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right="640"/>
        <w:rPr>
          <w:rFonts w:ascii="宋体" w:hAnsi="宋体" w:eastAsia="宋体" w:cs="宋体"/>
          <w:kern w:val="0"/>
          <w:sz w:val="24"/>
        </w:rPr>
      </w:pPr>
    </w:p>
    <w:p>
      <w:pPr>
        <w:spacing w:line="720" w:lineRule="auto"/>
        <w:ind w:right="640"/>
        <w:rPr>
          <w:rFonts w:ascii="宋体" w:hAnsi="宋体" w:eastAsia="宋体" w:cs="宋体"/>
          <w:kern w:val="0"/>
          <w:sz w:val="24"/>
        </w:rPr>
      </w:pPr>
      <w:r>
        <w:rPr>
          <w:rFonts w:hint="eastAsia" w:ascii="宋体" w:hAnsi="宋体" w:eastAsia="宋体" w:cs="宋体"/>
          <w:b/>
          <w:sz w:val="32"/>
        </w:rPr>
        <w:drawing>
          <wp:anchor distT="0" distB="0" distL="114300" distR="114300" simplePos="0" relativeHeight="251658240" behindDoc="1" locked="0" layoutInCell="1" allowOverlap="1">
            <wp:simplePos x="0" y="0"/>
            <wp:positionH relativeFrom="column">
              <wp:posOffset>3992245</wp:posOffset>
            </wp:positionH>
            <wp:positionV relativeFrom="paragraph">
              <wp:posOffset>43180</wp:posOffset>
            </wp:positionV>
            <wp:extent cx="1765300" cy="961390"/>
            <wp:effectExtent l="0" t="0" r="6350" b="10160"/>
            <wp:wrapTight wrapText="bothSides">
              <wp:wrapPolygon>
                <wp:start x="0" y="0"/>
                <wp:lineTo x="0" y="20972"/>
                <wp:lineTo x="21445" y="20972"/>
                <wp:lineTo x="21445" y="0"/>
                <wp:lineTo x="0" y="0"/>
              </wp:wrapPolygon>
            </wp:wrapTight>
            <wp:docPr id="1" name="图片 2" descr="国华标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国华标记1"/>
                    <pic:cNvPicPr>
                      <a:picLocks noChangeAspect="1"/>
                    </pic:cNvPicPr>
                  </pic:nvPicPr>
                  <pic:blipFill>
                    <a:blip r:embed="rId10" cstate="print"/>
                    <a:stretch>
                      <a:fillRect/>
                    </a:stretch>
                  </pic:blipFill>
                  <pic:spPr>
                    <a:xfrm>
                      <a:off x="0" y="0"/>
                      <a:ext cx="1765300" cy="961390"/>
                    </a:xfrm>
                    <a:prstGeom prst="rect">
                      <a:avLst/>
                    </a:prstGeom>
                    <a:noFill/>
                    <a:ln w="9525">
                      <a:noFill/>
                    </a:ln>
                  </pic:spPr>
                </pic:pic>
              </a:graphicData>
            </a:graphic>
          </wp:anchor>
        </w:drawing>
      </w:r>
    </w:p>
    <w:p>
      <w:pPr>
        <w:snapToGrid w:val="0"/>
        <w:spacing w:line="372" w:lineRule="auto"/>
        <w:ind w:right="641"/>
        <w:rPr>
          <w:rFonts w:ascii="宋体" w:hAnsi="宋体" w:eastAsia="宋体" w:cs="宋体"/>
          <w:b/>
          <w:sz w:val="10"/>
          <w:szCs w:val="10"/>
        </w:rPr>
      </w:pPr>
    </w:p>
    <w:p>
      <w:pPr>
        <w:snapToGrid w:val="0"/>
        <w:spacing w:line="372" w:lineRule="auto"/>
        <w:ind w:right="641"/>
        <w:rPr>
          <w:rFonts w:ascii="宋体" w:hAnsi="宋体" w:eastAsia="宋体" w:cs="宋体"/>
          <w:b/>
          <w:sz w:val="10"/>
          <w:szCs w:val="10"/>
        </w:rPr>
      </w:pPr>
    </w:p>
    <w:p>
      <w:pPr>
        <w:jc w:val="center"/>
        <w:rPr>
          <w:rFonts w:ascii="宋体" w:hAnsi="宋体" w:eastAsia="宋体" w:cs="宋体"/>
          <w:b/>
          <w:sz w:val="110"/>
          <w:szCs w:val="84"/>
        </w:rPr>
      </w:pPr>
    </w:p>
    <w:p>
      <w:pPr>
        <w:jc w:val="center"/>
        <w:rPr>
          <w:rFonts w:ascii="宋体" w:hAnsi="宋体" w:eastAsia="宋体" w:cs="宋体"/>
          <w:b/>
          <w:sz w:val="110"/>
          <w:szCs w:val="84"/>
        </w:rPr>
      </w:pPr>
      <w:r>
        <w:rPr>
          <w:rFonts w:hint="eastAsia" w:ascii="宋体" w:hAnsi="宋体" w:eastAsia="宋体" w:cs="宋体"/>
          <w:b/>
          <w:sz w:val="110"/>
          <w:szCs w:val="84"/>
        </w:rPr>
        <w:t>招 标 文 件</w:t>
      </w:r>
    </w:p>
    <w:p>
      <w:pPr>
        <w:snapToGrid w:val="0"/>
        <w:spacing w:line="1100" w:lineRule="exact"/>
        <w:rPr>
          <w:rFonts w:ascii="宋体" w:hAnsi="宋体" w:eastAsia="宋体" w:cs="宋体"/>
          <w:sz w:val="30"/>
        </w:rPr>
      </w:pPr>
    </w:p>
    <w:p>
      <w:pPr>
        <w:snapToGrid w:val="0"/>
        <w:spacing w:line="1100" w:lineRule="exact"/>
        <w:rPr>
          <w:rFonts w:ascii="宋体" w:hAnsi="宋体" w:eastAsia="宋体" w:cs="宋体"/>
          <w:sz w:val="30"/>
        </w:rPr>
      </w:pPr>
    </w:p>
    <w:p>
      <w:pPr>
        <w:snapToGrid w:val="0"/>
        <w:spacing w:line="700" w:lineRule="exact"/>
        <w:ind w:left="630" w:leftChars="300"/>
        <w:rPr>
          <w:rFonts w:ascii="宋体" w:hAnsi="宋体" w:eastAsia="宋体" w:cs="宋体"/>
          <w:b/>
          <w:sz w:val="30"/>
          <w:szCs w:val="30"/>
          <w:lang w:val="zh-CN"/>
        </w:rPr>
      </w:pPr>
      <w:r>
        <w:rPr>
          <w:rFonts w:hint="eastAsia" w:ascii="宋体" w:hAnsi="宋体" w:eastAsia="宋体" w:cs="宋体"/>
          <w:b/>
          <w:sz w:val="30"/>
          <w:szCs w:val="30"/>
        </w:rPr>
        <w:t>采购</w:t>
      </w:r>
      <w:r>
        <w:rPr>
          <w:rFonts w:hint="eastAsia" w:ascii="宋体" w:hAnsi="宋体" w:eastAsia="宋体" w:cs="宋体"/>
          <w:b/>
          <w:sz w:val="30"/>
          <w:szCs w:val="30"/>
          <w:lang w:val="zh-CN"/>
        </w:rPr>
        <w:t>编号：</w:t>
      </w:r>
    </w:p>
    <w:p>
      <w:pPr>
        <w:snapToGrid w:val="0"/>
        <w:spacing w:line="700" w:lineRule="exact"/>
        <w:ind w:left="630" w:leftChars="300"/>
        <w:rPr>
          <w:rFonts w:ascii="宋体" w:hAnsi="宋体" w:eastAsia="宋体" w:cs="宋体"/>
          <w:b/>
          <w:sz w:val="30"/>
          <w:szCs w:val="30"/>
          <w:lang w:val="zh-CN"/>
        </w:rPr>
      </w:pPr>
      <w:r>
        <w:rPr>
          <w:rFonts w:hint="eastAsia" w:ascii="宋体" w:hAnsi="宋体" w:eastAsia="宋体" w:cs="宋体"/>
          <w:b/>
          <w:sz w:val="30"/>
          <w:szCs w:val="30"/>
          <w:lang w:val="zh-CN"/>
        </w:rPr>
        <w:t>项目名称：华中师范大学2018年度应用化学实验室新增设备</w:t>
      </w:r>
    </w:p>
    <w:p>
      <w:pPr>
        <w:snapToGrid w:val="0"/>
        <w:spacing w:line="700" w:lineRule="exact"/>
        <w:ind w:firstLine="2108" w:firstLineChars="700"/>
        <w:rPr>
          <w:rFonts w:ascii="宋体" w:hAnsi="宋体" w:eastAsia="宋体" w:cs="宋体"/>
          <w:b/>
          <w:sz w:val="30"/>
          <w:szCs w:val="30"/>
        </w:rPr>
      </w:pPr>
      <w:r>
        <w:rPr>
          <w:rFonts w:hint="eastAsia" w:ascii="宋体" w:hAnsi="宋体" w:eastAsia="宋体" w:cs="宋体"/>
          <w:b/>
          <w:sz w:val="30"/>
          <w:szCs w:val="30"/>
          <w:lang w:val="zh-CN"/>
        </w:rPr>
        <w:t>购置项目</w:t>
      </w:r>
    </w:p>
    <w:p>
      <w:pPr>
        <w:snapToGrid w:val="0"/>
        <w:spacing w:line="700" w:lineRule="exact"/>
        <w:ind w:left="2124" w:leftChars="300" w:hanging="1494" w:hangingChars="496"/>
        <w:rPr>
          <w:rFonts w:ascii="宋体" w:hAnsi="宋体" w:eastAsia="宋体" w:cs="宋体"/>
          <w:b/>
          <w:sz w:val="30"/>
          <w:szCs w:val="30"/>
          <w:lang w:val="zh-CN"/>
        </w:rPr>
      </w:pPr>
      <w:r>
        <w:rPr>
          <w:rFonts w:hint="eastAsia" w:ascii="宋体" w:hAnsi="宋体" w:eastAsia="宋体" w:cs="宋体"/>
          <w:b/>
          <w:sz w:val="30"/>
          <w:szCs w:val="30"/>
        </w:rPr>
        <w:t>采购内容：2018年度应用化学实验室新增设备</w:t>
      </w:r>
    </w:p>
    <w:p>
      <w:pPr>
        <w:snapToGrid w:val="0"/>
        <w:spacing w:line="700" w:lineRule="exact"/>
        <w:ind w:left="630" w:leftChars="300"/>
        <w:rPr>
          <w:rFonts w:ascii="宋体" w:hAnsi="宋体" w:eastAsia="宋体" w:cs="宋体"/>
          <w:b/>
          <w:sz w:val="30"/>
          <w:szCs w:val="30"/>
          <w:lang w:val="zh-CN"/>
        </w:rPr>
      </w:pPr>
      <w:r>
        <w:rPr>
          <w:rFonts w:hint="eastAsia" w:ascii="宋体" w:hAnsi="宋体" w:eastAsia="宋体" w:cs="宋体"/>
          <w:b/>
          <w:sz w:val="30"/>
          <w:szCs w:val="30"/>
        </w:rPr>
        <w:t>采 购</w:t>
      </w:r>
      <w:r>
        <w:rPr>
          <w:rFonts w:hint="eastAsia" w:ascii="宋体" w:hAnsi="宋体" w:eastAsia="宋体" w:cs="宋体"/>
          <w:b/>
          <w:sz w:val="30"/>
          <w:szCs w:val="30"/>
          <w:lang w:val="zh-CN"/>
        </w:rPr>
        <w:t xml:space="preserve"> 人：</w:t>
      </w:r>
      <w:r>
        <w:rPr>
          <w:rFonts w:hint="eastAsia" w:ascii="宋体" w:hAnsi="宋体" w:eastAsia="宋体" w:cs="宋体"/>
          <w:b/>
          <w:sz w:val="30"/>
          <w:szCs w:val="30"/>
        </w:rPr>
        <w:t>华中师范大学</w:t>
      </w:r>
    </w:p>
    <w:p>
      <w:pPr>
        <w:snapToGrid w:val="0"/>
        <w:spacing w:line="700" w:lineRule="exact"/>
        <w:ind w:left="630" w:leftChars="300"/>
        <w:rPr>
          <w:rFonts w:ascii="宋体" w:hAnsi="宋体" w:eastAsia="宋体" w:cs="宋体"/>
          <w:b/>
          <w:sz w:val="30"/>
          <w:szCs w:val="30"/>
          <w:lang w:val="zh-CN"/>
        </w:rPr>
      </w:pPr>
      <w:r>
        <w:rPr>
          <w:rFonts w:hint="eastAsia" w:ascii="宋体" w:hAnsi="宋体" w:eastAsia="宋体" w:cs="宋体"/>
          <w:b/>
          <w:sz w:val="30"/>
          <w:szCs w:val="30"/>
          <w:lang w:val="zh-CN"/>
        </w:rPr>
        <w:t>采购代理机构：湖北国华招标咨询有限公司</w:t>
      </w:r>
    </w:p>
    <w:p>
      <w:pPr>
        <w:snapToGrid w:val="0"/>
        <w:spacing w:line="1100" w:lineRule="exact"/>
        <w:rPr>
          <w:rFonts w:ascii="宋体" w:hAnsi="宋体" w:eastAsia="宋体" w:cs="宋体"/>
          <w:b/>
          <w:sz w:val="30"/>
          <w:szCs w:val="30"/>
          <w:lang w:val="zh-CN"/>
        </w:rPr>
      </w:pPr>
    </w:p>
    <w:p>
      <w:pPr>
        <w:snapToGrid w:val="0"/>
        <w:spacing w:line="700" w:lineRule="exact"/>
        <w:jc w:val="center"/>
        <w:rPr>
          <w:rFonts w:ascii="宋体" w:hAnsi="宋体" w:eastAsia="宋体" w:cs="宋体"/>
          <w:b/>
          <w:sz w:val="30"/>
          <w:szCs w:val="30"/>
          <w:lang w:val="zh-CN"/>
        </w:rPr>
      </w:pPr>
      <w:r>
        <w:rPr>
          <w:rFonts w:hint="eastAsia" w:ascii="宋体" w:hAnsi="宋体" w:eastAsia="宋体" w:cs="宋体"/>
          <w:b/>
          <w:sz w:val="30"/>
          <w:szCs w:val="30"/>
          <w:lang w:val="zh-CN"/>
        </w:rPr>
        <w:t>二零一八年六月</w:t>
      </w:r>
    </w:p>
    <w:p>
      <w:pPr>
        <w:jc w:val="center"/>
        <w:rPr>
          <w:rFonts w:ascii="宋体" w:hAnsi="宋体" w:eastAsia="宋体" w:cs="宋体"/>
          <w:b/>
          <w:sz w:val="44"/>
        </w:rPr>
      </w:pPr>
    </w:p>
    <w:p>
      <w:pPr>
        <w:rPr>
          <w:rFonts w:ascii="宋体" w:hAnsi="宋体" w:eastAsia="宋体" w:cs="宋体"/>
        </w:rPr>
        <w:sectPr>
          <w:headerReference r:id="rId3" w:type="default"/>
          <w:footerReference r:id="rId5" w:type="default"/>
          <w:headerReference r:id="rId4" w:type="even"/>
          <w:footerReference r:id="rId6" w:type="even"/>
          <w:pgSz w:w="11906" w:h="16838"/>
          <w:pgMar w:top="1302" w:right="1191" w:bottom="1134" w:left="1191" w:header="851" w:footer="737" w:gutter="0"/>
          <w:cols w:space="425" w:num="1"/>
          <w:docGrid w:type="lines" w:linePitch="312" w:charSpace="0"/>
        </w:sectPr>
      </w:pPr>
    </w:p>
    <w:p>
      <w:pPr>
        <w:spacing w:before="312" w:beforeLines="100"/>
        <w:jc w:val="center"/>
        <w:rPr>
          <w:rFonts w:ascii="宋体" w:hAnsi="宋体" w:eastAsia="宋体" w:cs="宋体"/>
          <w:sz w:val="44"/>
          <w:szCs w:val="44"/>
        </w:rPr>
      </w:pPr>
      <w:r>
        <w:rPr>
          <w:rFonts w:hint="eastAsia" w:ascii="宋体" w:hAnsi="宋体" w:eastAsia="宋体" w:cs="宋体"/>
          <w:sz w:val="44"/>
          <w:szCs w:val="44"/>
        </w:rPr>
        <w:t>目   录</w:t>
      </w:r>
    </w:p>
    <w:p>
      <w:pPr>
        <w:spacing w:before="312" w:beforeLines="100"/>
        <w:jc w:val="center"/>
        <w:rPr>
          <w:rFonts w:ascii="宋体" w:hAnsi="宋体" w:eastAsia="宋体" w:cs="宋体"/>
          <w:sz w:val="44"/>
          <w:szCs w:val="44"/>
        </w:rPr>
      </w:pPr>
    </w:p>
    <w:sdt>
      <w:sdtPr>
        <w:rPr>
          <w:rFonts w:hint="eastAsia" w:ascii="宋体" w:hAnsi="宋体" w:eastAsia="宋体" w:cs="宋体"/>
          <w:color w:val="auto"/>
          <w:lang w:val="zh-CN"/>
        </w:rPr>
        <w:id w:val="1482579200"/>
        <w:docPartObj>
          <w:docPartGallery w:val="Table of Contents"/>
          <w:docPartUnique/>
        </w:docPartObj>
      </w:sdtPr>
      <w:sdtEndPr>
        <w:rPr>
          <w:rFonts w:hint="eastAsia" w:ascii="宋体" w:hAnsi="宋体" w:eastAsia="宋体" w:cs="宋体"/>
          <w:b w:val="0"/>
          <w:bCs/>
          <w:color w:val="auto"/>
          <w:lang w:val="zh-CN"/>
        </w:rPr>
      </w:sdtEndPr>
      <w:sdtContent>
        <w:p>
          <w:pPr>
            <w:pStyle w:val="16"/>
            <w:tabs>
              <w:tab w:val="left" w:pos="1260"/>
              <w:tab w:val="right" w:leader="dot" w:pos="9514"/>
            </w:tabs>
            <w:spacing w:line="480" w:lineRule="auto"/>
            <w:rPr>
              <w:rFonts w:ascii="宋体" w:hAnsi="宋体" w:eastAsia="宋体" w:cs="宋体"/>
              <w:b w:val="0"/>
              <w:iCs w:val="0"/>
              <w:color w:val="auto"/>
              <w:kern w:val="2"/>
              <w:sz w:val="21"/>
            </w:rPr>
          </w:pPr>
          <w:r>
            <w:rPr>
              <w:rFonts w:hint="eastAsia" w:ascii="宋体" w:hAnsi="宋体" w:eastAsia="宋体" w:cs="宋体"/>
              <w:color w:val="auto"/>
            </w:rPr>
            <w:fldChar w:fldCharType="begin"/>
          </w:r>
          <w:r>
            <w:rPr>
              <w:rFonts w:hint="eastAsia" w:ascii="宋体" w:hAnsi="宋体" w:eastAsia="宋体" w:cs="宋体"/>
              <w:color w:val="auto"/>
            </w:rPr>
            <w:instrText xml:space="preserve"> TOC \o "1-2" \h \z \u </w:instrText>
          </w:r>
          <w:r>
            <w:rPr>
              <w:rFonts w:hint="eastAsia" w:ascii="宋体" w:hAnsi="宋体" w:eastAsia="宋体" w:cs="宋体"/>
              <w:color w:val="auto"/>
            </w:rPr>
            <w:fldChar w:fldCharType="separate"/>
          </w:r>
          <w:r>
            <w:fldChar w:fldCharType="begin"/>
          </w:r>
          <w:r>
            <w:instrText xml:space="preserve"> HYPERLINK \l "_Toc495848885" </w:instrText>
          </w:r>
          <w:r>
            <w:fldChar w:fldCharType="separate"/>
          </w:r>
          <w:r>
            <w:rPr>
              <w:rStyle w:val="24"/>
              <w:rFonts w:hint="eastAsia" w:ascii="宋体" w:hAnsi="宋体" w:eastAsia="宋体" w:cs="宋体"/>
              <w:color w:val="auto"/>
            </w:rPr>
            <w:t>第一章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投标邀请书</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_Toc495848885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left" w:pos="1260"/>
              <w:tab w:val="right" w:leader="dot" w:pos="9514"/>
            </w:tabs>
            <w:spacing w:line="480" w:lineRule="auto"/>
            <w:rPr>
              <w:rFonts w:ascii="宋体" w:hAnsi="宋体" w:eastAsia="宋体" w:cs="宋体"/>
              <w:iCs w:val="0"/>
              <w:color w:val="auto"/>
              <w:kern w:val="2"/>
              <w:sz w:val="21"/>
            </w:rPr>
          </w:pPr>
          <w:r>
            <w:fldChar w:fldCharType="begin"/>
          </w:r>
          <w:r>
            <w:instrText xml:space="preserve"> HYPERLINK \l "_Toc495848886" </w:instrText>
          </w:r>
          <w:r>
            <w:fldChar w:fldCharType="separate"/>
          </w:r>
          <w:r>
            <w:rPr>
              <w:rStyle w:val="24"/>
              <w:rFonts w:hint="eastAsia" w:ascii="宋体" w:hAnsi="宋体" w:eastAsia="宋体" w:cs="宋体"/>
              <w:color w:val="auto"/>
            </w:rPr>
            <w:t>第二章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_Toc495848886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left" w:pos="1260"/>
              <w:tab w:val="right" w:leader="dot" w:pos="9514"/>
            </w:tabs>
            <w:spacing w:line="480" w:lineRule="auto"/>
            <w:rPr>
              <w:rFonts w:ascii="宋体" w:hAnsi="宋体" w:eastAsia="宋体" w:cs="宋体"/>
              <w:iCs w:val="0"/>
              <w:color w:val="auto"/>
              <w:kern w:val="2"/>
              <w:sz w:val="21"/>
            </w:rPr>
          </w:pPr>
          <w:r>
            <w:fldChar w:fldCharType="begin"/>
          </w:r>
          <w:r>
            <w:instrText xml:space="preserve"> HYPERLINK \l "_Toc495848900" </w:instrText>
          </w:r>
          <w:r>
            <w:fldChar w:fldCharType="separate"/>
          </w:r>
          <w:r>
            <w:rPr>
              <w:rStyle w:val="24"/>
              <w:rFonts w:hint="eastAsia" w:ascii="宋体" w:hAnsi="宋体" w:eastAsia="宋体" w:cs="宋体"/>
              <w:color w:val="auto"/>
            </w:rPr>
            <w:t>第三章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项目技术、服务及商务要求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_Toc495848900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left" w:pos="1260"/>
              <w:tab w:val="right" w:leader="dot" w:pos="9514"/>
            </w:tabs>
            <w:spacing w:line="480" w:lineRule="auto"/>
            <w:rPr>
              <w:rFonts w:ascii="宋体" w:hAnsi="宋体" w:eastAsia="宋体" w:cs="宋体"/>
              <w:iCs w:val="0"/>
              <w:color w:val="auto"/>
              <w:kern w:val="2"/>
              <w:sz w:val="21"/>
            </w:rPr>
          </w:pPr>
          <w:r>
            <w:fldChar w:fldCharType="begin"/>
          </w:r>
          <w:r>
            <w:instrText xml:space="preserve"> HYPERLINK \l "_Toc495848906" </w:instrText>
          </w:r>
          <w:r>
            <w:fldChar w:fldCharType="separate"/>
          </w:r>
          <w:r>
            <w:rPr>
              <w:rStyle w:val="24"/>
              <w:rFonts w:hint="eastAsia" w:ascii="宋体" w:hAnsi="宋体" w:eastAsia="宋体" w:cs="宋体"/>
              <w:color w:val="auto"/>
            </w:rPr>
            <w:t>第四章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资格审查方法及标准</w:t>
          </w:r>
          <w:r>
            <w:rPr>
              <w:rFonts w:hint="eastAsia" w:ascii="宋体" w:hAnsi="宋体" w:eastAsia="宋体" w:cs="宋体"/>
              <w:color w:val="auto"/>
            </w:rPr>
            <w:tab/>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t>7</w:t>
          </w:r>
        </w:p>
        <w:p>
          <w:pPr>
            <w:pStyle w:val="16"/>
            <w:tabs>
              <w:tab w:val="left" w:pos="1260"/>
              <w:tab w:val="right" w:leader="dot" w:pos="9514"/>
            </w:tabs>
            <w:spacing w:line="480" w:lineRule="auto"/>
            <w:rPr>
              <w:rFonts w:ascii="宋体" w:hAnsi="宋体" w:eastAsia="宋体" w:cs="宋体"/>
              <w:b w:val="0"/>
              <w:iCs w:val="0"/>
              <w:color w:val="auto"/>
              <w:kern w:val="2"/>
              <w:sz w:val="21"/>
            </w:rPr>
          </w:pPr>
          <w:r>
            <w:fldChar w:fldCharType="begin"/>
          </w:r>
          <w:r>
            <w:instrText xml:space="preserve"> HYPERLINK \l "_Toc495848909" </w:instrText>
          </w:r>
          <w:r>
            <w:fldChar w:fldCharType="separate"/>
          </w:r>
          <w:r>
            <w:rPr>
              <w:rStyle w:val="24"/>
              <w:rFonts w:hint="eastAsia" w:ascii="宋体" w:hAnsi="宋体" w:eastAsia="宋体" w:cs="宋体"/>
              <w:color w:val="auto"/>
            </w:rPr>
            <w:t>第五章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评标方法、程序及标准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_Toc495848909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left" w:pos="1260"/>
              <w:tab w:val="right" w:leader="dot" w:pos="9514"/>
            </w:tabs>
            <w:spacing w:line="480" w:lineRule="auto"/>
            <w:rPr>
              <w:rFonts w:ascii="宋体" w:hAnsi="宋体" w:eastAsia="宋体" w:cs="宋体"/>
              <w:b w:val="0"/>
              <w:iCs w:val="0"/>
              <w:color w:val="auto"/>
              <w:kern w:val="2"/>
              <w:sz w:val="21"/>
            </w:rPr>
          </w:pPr>
          <w:r>
            <w:fldChar w:fldCharType="begin"/>
          </w:r>
          <w:r>
            <w:instrText xml:space="preserve"> HYPERLINK \l "_Toc495848913" </w:instrText>
          </w:r>
          <w:r>
            <w:fldChar w:fldCharType="separate"/>
          </w:r>
          <w:r>
            <w:rPr>
              <w:rStyle w:val="24"/>
              <w:rFonts w:hint="eastAsia" w:ascii="宋体" w:hAnsi="宋体" w:eastAsia="宋体" w:cs="宋体"/>
              <w:color w:val="auto"/>
            </w:rPr>
            <w:t>第六章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合同书格式（参考）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_Toc495848913 \h </w:instrText>
          </w:r>
          <w:r>
            <w:rPr>
              <w:rFonts w:hint="eastAsia" w:ascii="宋体" w:hAnsi="宋体" w:eastAsia="宋体" w:cs="宋体"/>
              <w:color w:val="auto"/>
            </w:rPr>
            <w:fldChar w:fldCharType="separate"/>
          </w:r>
          <w:r>
            <w:rPr>
              <w:rFonts w:hint="eastAsia" w:ascii="宋体" w:hAnsi="宋体" w:eastAsia="宋体" w:cs="宋体"/>
              <w:color w:val="auto"/>
            </w:rPr>
            <w:t>41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6"/>
            <w:tabs>
              <w:tab w:val="left" w:pos="1260"/>
              <w:tab w:val="right" w:leader="dot" w:pos="9514"/>
            </w:tabs>
            <w:spacing w:line="480" w:lineRule="auto"/>
            <w:rPr>
              <w:rFonts w:ascii="宋体" w:hAnsi="宋体" w:eastAsia="宋体" w:cs="宋体"/>
              <w:b w:val="0"/>
              <w:iCs w:val="0"/>
              <w:color w:val="auto"/>
              <w:kern w:val="2"/>
              <w:sz w:val="21"/>
            </w:rPr>
          </w:pPr>
          <w:r>
            <w:fldChar w:fldCharType="begin"/>
          </w:r>
          <w:r>
            <w:instrText xml:space="preserve"> HYPERLINK \l "_Toc495848914" </w:instrText>
          </w:r>
          <w:r>
            <w:fldChar w:fldCharType="separate"/>
          </w:r>
          <w:r>
            <w:rPr>
              <w:rStyle w:val="24"/>
              <w:rFonts w:hint="eastAsia" w:ascii="宋体" w:hAnsi="宋体" w:eastAsia="宋体" w:cs="宋体"/>
              <w:color w:val="auto"/>
            </w:rPr>
            <w:t>第七章</w:t>
          </w:r>
          <w:r>
            <w:rPr>
              <w:rFonts w:hint="eastAsia" w:ascii="宋体" w:hAnsi="宋体" w:eastAsia="宋体" w:cs="宋体"/>
              <w:b w:val="0"/>
              <w:iCs w:val="0"/>
              <w:color w:val="auto"/>
              <w:kern w:val="2"/>
              <w:sz w:val="21"/>
            </w:rPr>
            <w:tab/>
          </w:r>
          <w:r>
            <w:rPr>
              <w:rStyle w:val="24"/>
              <w:rFonts w:hint="eastAsia" w:ascii="宋体" w:hAnsi="宋体" w:eastAsia="宋体" w:cs="宋体"/>
              <w:color w:val="auto"/>
            </w:rPr>
            <w:t>投标文件格式（参考）</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_Toc495848914 \h </w:instrText>
          </w:r>
          <w:r>
            <w:rPr>
              <w:rFonts w:hint="eastAsia" w:ascii="宋体" w:hAnsi="宋体" w:eastAsia="宋体" w:cs="宋体"/>
              <w:color w:val="auto"/>
            </w:rPr>
            <w:fldChar w:fldCharType="separate"/>
          </w:r>
          <w:r>
            <w:rPr>
              <w:rFonts w:hint="eastAsia" w:ascii="宋体" w:hAnsi="宋体" w:eastAsia="宋体" w:cs="宋体"/>
              <w:color w:val="auto"/>
            </w:rPr>
            <w:t>48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8"/>
            <w:tabs>
              <w:tab w:val="left" w:pos="1870"/>
            </w:tabs>
            <w:rPr>
              <w:rFonts w:eastAsia="宋体" w:cs="宋体"/>
              <w:iCs w:val="0"/>
              <w:color w:val="auto"/>
              <w:kern w:val="2"/>
              <w:sz w:val="21"/>
            </w:rPr>
          </w:pPr>
        </w:p>
        <w:p>
          <w:pPr>
            <w:pStyle w:val="16"/>
            <w:tabs>
              <w:tab w:val="left" w:pos="1260"/>
              <w:tab w:val="right" w:leader="dot" w:pos="9514"/>
            </w:tabs>
            <w:rPr>
              <w:rFonts w:ascii="宋体" w:hAnsi="宋体" w:eastAsia="宋体" w:cs="宋体"/>
              <w:color w:val="auto"/>
            </w:rPr>
          </w:pPr>
          <w:r>
            <w:rPr>
              <w:rFonts w:hint="eastAsia" w:ascii="宋体" w:hAnsi="宋体" w:eastAsia="宋体" w:cs="宋体"/>
              <w:color w:val="auto"/>
            </w:rPr>
            <w:fldChar w:fldCharType="end"/>
          </w:r>
          <w:r>
            <w:rPr>
              <w:rFonts w:hint="eastAsia" w:ascii="宋体" w:hAnsi="宋体" w:eastAsia="宋体" w:cs="宋体"/>
              <w:b w:val="0"/>
              <w:bCs/>
              <w:color w:val="auto"/>
              <w:lang w:val="zh-CN"/>
            </w:rPr>
            <w:tab/>
          </w:r>
        </w:p>
      </w:sdtContent>
    </w:sdt>
    <w:p>
      <w:pPr>
        <w:rPr>
          <w:rFonts w:ascii="宋体" w:hAnsi="宋体" w:eastAsia="宋体" w:cs="宋体"/>
        </w:rPr>
      </w:pPr>
      <w:r>
        <w:rPr>
          <w:rFonts w:hint="eastAsia" w:ascii="宋体" w:hAnsi="宋体" w:eastAsia="宋体" w:cs="宋体"/>
        </w:rPr>
        <w:br w:type="page"/>
      </w:r>
    </w:p>
    <w:p>
      <w:pPr>
        <w:pStyle w:val="2"/>
        <w:numPr>
          <w:ilvl w:val="0"/>
          <w:numId w:val="1"/>
        </w:numPr>
        <w:spacing w:before="240" w:after="120"/>
        <w:ind w:left="883" w:hanging="880" w:hangingChars="200"/>
        <w:jc w:val="center"/>
        <w:rPr>
          <w:rFonts w:ascii="宋体" w:hAnsi="宋体" w:eastAsia="宋体" w:cs="宋体"/>
        </w:rPr>
      </w:pPr>
      <w:bookmarkStart w:id="0" w:name="_Toc495848885"/>
      <w:r>
        <w:rPr>
          <w:rFonts w:hint="eastAsia" w:ascii="宋体" w:hAnsi="宋体" w:eastAsia="宋体" w:cs="宋体"/>
        </w:rPr>
        <w:t>投标邀请书</w:t>
      </w:r>
      <w:bookmarkEnd w:id="0"/>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湖北国华招标咨询有限公司就华中师范大学2018年度应用化学实验室新增设备购置项目进行公开招标采购，欢迎符合条件的供应商投标。</w:t>
      </w:r>
    </w:p>
    <w:p>
      <w:pPr>
        <w:spacing w:line="600" w:lineRule="exact"/>
        <w:rPr>
          <w:rFonts w:ascii="宋体" w:hAnsi="宋体" w:eastAsia="宋体" w:cs="宋体"/>
          <w:sz w:val="24"/>
          <w:szCs w:val="24"/>
        </w:rPr>
      </w:pPr>
      <w:r>
        <w:rPr>
          <w:rFonts w:hint="eastAsia" w:ascii="宋体" w:hAnsi="宋体" w:eastAsia="宋体" w:cs="宋体"/>
          <w:b/>
          <w:sz w:val="24"/>
          <w:szCs w:val="24"/>
        </w:rPr>
        <w:t>一.项目编号：</w:t>
      </w:r>
    </w:p>
    <w:p>
      <w:pPr>
        <w:spacing w:line="600" w:lineRule="exact"/>
        <w:rPr>
          <w:rFonts w:ascii="宋体" w:hAnsi="宋体" w:eastAsia="宋体" w:cs="宋体"/>
          <w:b/>
          <w:sz w:val="24"/>
          <w:szCs w:val="24"/>
        </w:rPr>
      </w:pPr>
      <w:r>
        <w:rPr>
          <w:rFonts w:hint="eastAsia" w:ascii="宋体" w:hAnsi="宋体" w:eastAsia="宋体" w:cs="宋体"/>
          <w:b/>
          <w:sz w:val="24"/>
          <w:szCs w:val="24"/>
        </w:rPr>
        <w:t>二.项目名称：</w:t>
      </w:r>
      <w:r>
        <w:rPr>
          <w:rFonts w:hint="eastAsia" w:ascii="宋体" w:hAnsi="宋体" w:eastAsia="宋体" w:cs="宋体"/>
          <w:bCs/>
          <w:sz w:val="24"/>
          <w:szCs w:val="24"/>
        </w:rPr>
        <w:t>华中师范大学2018年度应用化学实验室新增设备购置项目</w:t>
      </w:r>
    </w:p>
    <w:p>
      <w:pPr>
        <w:spacing w:line="600" w:lineRule="exact"/>
        <w:rPr>
          <w:rFonts w:ascii="宋体" w:hAnsi="宋体" w:eastAsia="宋体" w:cs="宋体"/>
          <w:sz w:val="24"/>
          <w:szCs w:val="24"/>
        </w:rPr>
      </w:pPr>
      <w:r>
        <w:rPr>
          <w:rFonts w:hint="eastAsia" w:ascii="宋体" w:hAnsi="宋体" w:eastAsia="宋体" w:cs="宋体"/>
          <w:b/>
          <w:sz w:val="24"/>
          <w:szCs w:val="24"/>
        </w:rPr>
        <w:t>三.招标内容：</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01包：差示扫描量热仪/1套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02包：催化裂解实验装置/1套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03包：高通量微波消解（萃取工作站）/1套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04包：万能拉力机/1套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05包：LED光源系统/8套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06包：固定流化床催化裂化实验/4套</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07包：高效液相色谱仪/1套</w:t>
      </w:r>
    </w:p>
    <w:p>
      <w:pPr>
        <w:spacing w:line="600" w:lineRule="exact"/>
        <w:rPr>
          <w:rFonts w:ascii="宋体" w:hAnsi="宋体" w:eastAsia="宋体" w:cs="宋体"/>
          <w:sz w:val="24"/>
          <w:szCs w:val="24"/>
        </w:rPr>
      </w:pPr>
      <w:r>
        <w:rPr>
          <w:rFonts w:hint="eastAsia" w:ascii="宋体" w:hAnsi="宋体" w:eastAsia="宋体" w:cs="宋体"/>
          <w:b/>
          <w:sz w:val="24"/>
          <w:szCs w:val="24"/>
        </w:rPr>
        <w:t>四.采购预算：</w:t>
      </w:r>
      <w:r>
        <w:rPr>
          <w:rFonts w:hint="eastAsia" w:ascii="宋体" w:hAnsi="宋体" w:eastAsia="宋体" w:cs="宋体"/>
          <w:sz w:val="24"/>
          <w:szCs w:val="24"/>
        </w:rPr>
        <w:t>人民币179.3万元(其中01包预算金额为人民币55万元；02包预算金额为人民币27万元；03包预算金额为人民币13.6万元；04包预算金额为人民币9.5万元；05包预算金额为人民币10万元；06包预算金额为人民币39.2万元；07包预算金额为人民币25万元；供应商报价不得超过预算金额，否则将按无效响应处理)。</w:t>
      </w:r>
    </w:p>
    <w:p>
      <w:pPr>
        <w:spacing w:line="600" w:lineRule="exact"/>
        <w:rPr>
          <w:rFonts w:ascii="宋体" w:hAnsi="宋体" w:eastAsia="宋体" w:cs="宋体"/>
          <w:sz w:val="24"/>
          <w:szCs w:val="24"/>
        </w:rPr>
      </w:pPr>
      <w:r>
        <w:rPr>
          <w:rFonts w:hint="eastAsia" w:ascii="宋体" w:hAnsi="宋体" w:eastAsia="宋体" w:cs="宋体"/>
          <w:b/>
          <w:sz w:val="24"/>
          <w:szCs w:val="24"/>
        </w:rPr>
        <w:t>五.资金来源：</w:t>
      </w:r>
      <w:r>
        <w:rPr>
          <w:rFonts w:hint="eastAsia" w:ascii="宋体" w:hAnsi="宋体" w:eastAsia="宋体" w:cs="宋体"/>
          <w:sz w:val="24"/>
          <w:szCs w:val="24"/>
        </w:rPr>
        <w:t>财政性资金</w:t>
      </w:r>
    </w:p>
    <w:p>
      <w:pPr>
        <w:spacing w:line="600" w:lineRule="exact"/>
        <w:rPr>
          <w:rFonts w:ascii="宋体" w:hAnsi="宋体" w:eastAsia="宋体" w:cs="宋体"/>
          <w:b/>
          <w:sz w:val="24"/>
          <w:szCs w:val="24"/>
        </w:rPr>
      </w:pPr>
      <w:r>
        <w:rPr>
          <w:rFonts w:hint="eastAsia" w:ascii="宋体" w:hAnsi="宋体" w:eastAsia="宋体" w:cs="宋体"/>
          <w:b/>
          <w:sz w:val="24"/>
          <w:szCs w:val="24"/>
        </w:rPr>
        <w:t>六.供应商资格要求：</w:t>
      </w:r>
    </w:p>
    <w:p>
      <w:pPr>
        <w:tabs>
          <w:tab w:val="left" w:pos="896"/>
        </w:tabs>
        <w:spacing w:line="600" w:lineRule="exact"/>
        <w:ind w:left="482"/>
        <w:rPr>
          <w:rFonts w:ascii="宋体" w:hAnsi="宋体" w:eastAsia="宋体" w:cs="宋体"/>
          <w:sz w:val="24"/>
          <w:szCs w:val="24"/>
        </w:rPr>
      </w:pPr>
      <w:r>
        <w:rPr>
          <w:rFonts w:hint="eastAsia" w:ascii="宋体" w:hAnsi="宋体" w:eastAsia="宋体" w:cs="宋体"/>
          <w:sz w:val="24"/>
          <w:szCs w:val="24"/>
        </w:rPr>
        <w:t>1.具备《中华人民共和国政府采购法》第二十二条规定的条件；</w:t>
      </w:r>
    </w:p>
    <w:p>
      <w:pPr>
        <w:tabs>
          <w:tab w:val="left" w:pos="896"/>
        </w:tabs>
        <w:spacing w:line="600" w:lineRule="exact"/>
        <w:ind w:left="482"/>
        <w:rPr>
          <w:rFonts w:ascii="宋体" w:hAnsi="宋体" w:eastAsia="宋体" w:cs="宋体"/>
          <w:sz w:val="24"/>
          <w:szCs w:val="24"/>
        </w:rPr>
      </w:pPr>
      <w:r>
        <w:rPr>
          <w:rFonts w:hint="eastAsia" w:ascii="宋体" w:hAnsi="宋体" w:eastAsia="宋体" w:cs="宋体"/>
          <w:sz w:val="24"/>
          <w:szCs w:val="24"/>
        </w:rPr>
        <w:t>2.供应商应出具参加政府采购活动前3年内在经营活动中无重大违法记录的声明，且在“信用中国”网站（www.creditchina.gov.cn）、中国政府采购网（www.ccgp.gov.cn）查询无不良记录（以投标截止时间前查询结果为准）；</w:t>
      </w:r>
    </w:p>
    <w:p>
      <w:pPr>
        <w:tabs>
          <w:tab w:val="left" w:pos="896"/>
        </w:tabs>
        <w:spacing w:line="600" w:lineRule="exact"/>
        <w:ind w:left="482"/>
        <w:rPr>
          <w:rFonts w:ascii="宋体" w:hAnsi="宋体" w:eastAsia="宋体" w:cs="宋体"/>
          <w:sz w:val="24"/>
          <w:szCs w:val="24"/>
        </w:rPr>
      </w:pPr>
      <w:r>
        <w:rPr>
          <w:rFonts w:hint="eastAsia" w:ascii="宋体" w:hAnsi="宋体" w:eastAsia="宋体" w:cs="宋体"/>
          <w:sz w:val="24"/>
          <w:szCs w:val="24"/>
        </w:rPr>
        <w:t>3.如国家法律法规对市场准入有要求的还应符合相关规定；</w:t>
      </w:r>
    </w:p>
    <w:p>
      <w:pPr>
        <w:tabs>
          <w:tab w:val="left" w:pos="896"/>
        </w:tabs>
        <w:spacing w:line="600" w:lineRule="exact"/>
        <w:ind w:left="482"/>
        <w:rPr>
          <w:rFonts w:ascii="宋体" w:hAnsi="宋体" w:eastAsia="宋体" w:cs="宋体"/>
          <w:sz w:val="24"/>
          <w:szCs w:val="24"/>
        </w:rPr>
      </w:pPr>
      <w:r>
        <w:rPr>
          <w:rFonts w:hint="eastAsia" w:ascii="宋体" w:hAnsi="宋体" w:eastAsia="宋体" w:cs="宋体"/>
          <w:sz w:val="24"/>
          <w:szCs w:val="24"/>
        </w:rPr>
        <w:t>4.本项目不接受联合体形式的投标。</w:t>
      </w:r>
    </w:p>
    <w:p>
      <w:pPr>
        <w:spacing w:line="600" w:lineRule="exact"/>
        <w:rPr>
          <w:rFonts w:ascii="宋体" w:hAnsi="宋体" w:eastAsia="宋体" w:cs="宋体"/>
          <w:b/>
          <w:kern w:val="0"/>
          <w:sz w:val="24"/>
          <w:szCs w:val="24"/>
        </w:rPr>
      </w:pPr>
      <w:r>
        <w:rPr>
          <w:rFonts w:hint="eastAsia" w:ascii="宋体" w:hAnsi="宋体" w:eastAsia="宋体" w:cs="宋体"/>
          <w:b/>
          <w:kern w:val="0"/>
          <w:sz w:val="24"/>
          <w:szCs w:val="24"/>
        </w:rPr>
        <w:t>七.政府采购相关政策执行：</w:t>
      </w:r>
    </w:p>
    <w:p>
      <w:pPr>
        <w:tabs>
          <w:tab w:val="left" w:pos="896"/>
        </w:tabs>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spacing w:line="600" w:lineRule="exact"/>
        <w:rPr>
          <w:rFonts w:ascii="宋体" w:hAnsi="宋体" w:eastAsia="宋体" w:cs="宋体"/>
          <w:b/>
          <w:kern w:val="0"/>
          <w:sz w:val="24"/>
          <w:szCs w:val="24"/>
        </w:rPr>
      </w:pPr>
      <w:r>
        <w:rPr>
          <w:rFonts w:hint="eastAsia" w:ascii="宋体" w:hAnsi="宋体" w:eastAsia="宋体" w:cs="宋体"/>
          <w:b/>
          <w:kern w:val="0"/>
          <w:sz w:val="24"/>
          <w:szCs w:val="24"/>
          <w:lang w:val="zh-CN"/>
        </w:rPr>
        <w:t>八</w:t>
      </w:r>
      <w:r>
        <w:rPr>
          <w:rFonts w:hint="eastAsia" w:ascii="宋体" w:hAnsi="宋体" w:eastAsia="宋体" w:cs="宋体"/>
          <w:b/>
          <w:kern w:val="0"/>
          <w:sz w:val="24"/>
          <w:szCs w:val="24"/>
        </w:rPr>
        <w:t>.</w:t>
      </w:r>
      <w:r>
        <w:rPr>
          <w:rFonts w:hint="eastAsia" w:ascii="宋体" w:hAnsi="宋体" w:eastAsia="宋体" w:cs="宋体"/>
          <w:b/>
          <w:kern w:val="0"/>
          <w:sz w:val="24"/>
          <w:szCs w:val="24"/>
          <w:lang w:val="zh-CN"/>
        </w:rPr>
        <w:t>招标文件获取</w:t>
      </w:r>
      <w:r>
        <w:rPr>
          <w:rFonts w:hint="eastAsia" w:ascii="宋体" w:hAnsi="宋体" w:eastAsia="宋体" w:cs="宋体"/>
          <w:b/>
          <w:kern w:val="0"/>
          <w:sz w:val="24"/>
          <w:szCs w:val="24"/>
        </w:rPr>
        <w:t>：</w:t>
      </w:r>
    </w:p>
    <w:p>
      <w:pPr>
        <w:widowControl/>
        <w:spacing w:line="6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1.凡有意参加投标的供应商，可先在湖北国华招标咨询有限公司电子招标系统网站（http://ghzb.ebidding.net.cn/ebidding/login）进行免费注册。 </w:t>
      </w:r>
    </w:p>
    <w:p>
      <w:pPr>
        <w:widowControl/>
        <w:spacing w:line="6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2.完成注册后，请于2018年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22</w:t>
      </w:r>
      <w:r>
        <w:rPr>
          <w:rFonts w:hint="eastAsia" w:ascii="宋体" w:hAnsi="宋体" w:eastAsia="宋体" w:cs="宋体"/>
          <w:kern w:val="0"/>
          <w:sz w:val="24"/>
          <w:szCs w:val="24"/>
        </w:rPr>
        <w:t>日至2018年</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hint="eastAsia" w:ascii="宋体" w:hAnsi="宋体" w:eastAsia="宋体" w:cs="宋体"/>
          <w:kern w:val="0"/>
          <w:sz w:val="24"/>
          <w:szCs w:val="24"/>
        </w:rPr>
        <w:t>日17：00时止（北京时间），登录国华电子招标系统付费下载招标文件，招标文件300元/包。未按规定获取招标文件的，其投标将被否决。</w:t>
      </w:r>
    </w:p>
    <w:p>
      <w:pPr>
        <w:spacing w:line="600" w:lineRule="exact"/>
        <w:rPr>
          <w:rFonts w:ascii="宋体" w:hAnsi="宋体" w:eastAsia="宋体" w:cs="宋体"/>
          <w:kern w:val="0"/>
          <w:sz w:val="24"/>
          <w:szCs w:val="24"/>
          <w:lang w:val="zh-CN"/>
        </w:rPr>
      </w:pPr>
      <w:r>
        <w:rPr>
          <w:rFonts w:hint="eastAsia" w:ascii="宋体" w:hAnsi="宋体" w:eastAsia="宋体" w:cs="宋体"/>
          <w:b/>
          <w:kern w:val="0"/>
          <w:sz w:val="24"/>
          <w:szCs w:val="24"/>
          <w:lang w:val="zh-CN"/>
        </w:rPr>
        <w:t>九.报名截止时间：</w:t>
      </w:r>
      <w:r>
        <w:rPr>
          <w:rFonts w:hint="eastAsia" w:ascii="宋体" w:hAnsi="宋体" w:eastAsia="宋体" w:cs="宋体"/>
          <w:kern w:val="0"/>
          <w:sz w:val="24"/>
          <w:szCs w:val="24"/>
          <w:u w:val="single"/>
        </w:rPr>
        <w:t xml:space="preserve"> 2018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6</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29</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日17时00分</w:t>
      </w:r>
    </w:p>
    <w:p>
      <w:pPr>
        <w:spacing w:line="600" w:lineRule="exact"/>
        <w:rPr>
          <w:rFonts w:ascii="宋体" w:hAnsi="宋体" w:eastAsia="宋体" w:cs="宋体"/>
          <w:b/>
          <w:kern w:val="0"/>
          <w:sz w:val="24"/>
          <w:szCs w:val="24"/>
          <w:lang w:val="zh-CN"/>
        </w:rPr>
      </w:pPr>
      <w:r>
        <w:rPr>
          <w:rFonts w:hint="eastAsia" w:ascii="宋体" w:hAnsi="宋体" w:eastAsia="宋体" w:cs="宋体"/>
          <w:b/>
          <w:kern w:val="0"/>
          <w:sz w:val="24"/>
          <w:szCs w:val="24"/>
          <w:lang w:val="zh-CN"/>
        </w:rPr>
        <w:t>十.投标信息：</w:t>
      </w:r>
    </w:p>
    <w:p>
      <w:pPr>
        <w:spacing w:line="600" w:lineRule="exact"/>
        <w:ind w:firstLine="470" w:firstLineChars="196"/>
        <w:rPr>
          <w:rFonts w:ascii="宋体" w:hAnsi="宋体" w:eastAsia="宋体" w:cs="宋体"/>
          <w:b/>
          <w:kern w:val="0"/>
          <w:sz w:val="24"/>
          <w:szCs w:val="24"/>
        </w:rPr>
      </w:pPr>
      <w:r>
        <w:rPr>
          <w:rFonts w:hint="eastAsia" w:ascii="宋体" w:hAnsi="宋体" w:eastAsia="宋体" w:cs="宋体"/>
          <w:kern w:val="0"/>
          <w:sz w:val="24"/>
          <w:szCs w:val="24"/>
        </w:rPr>
        <w:t>投标文件递交截止时间：</w:t>
      </w:r>
      <w:r>
        <w:rPr>
          <w:rFonts w:hint="eastAsia" w:ascii="宋体" w:hAnsi="宋体" w:eastAsia="宋体" w:cs="宋体"/>
          <w:kern w:val="0"/>
          <w:sz w:val="24"/>
          <w:szCs w:val="24"/>
          <w:u w:val="single"/>
        </w:rPr>
        <w:t xml:space="preserve"> 2018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7</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17</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日09时30分（08时30分开始接收投标文件，拒收逾期送达或者未按招标文件要求密封的投标文件）</w:t>
      </w:r>
    </w:p>
    <w:p>
      <w:pPr>
        <w:widowControl/>
        <w:spacing w:line="600" w:lineRule="exact"/>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投标文件递交地点：华中师范大学行政楼附楼开标一室（201会议室）</w:t>
      </w:r>
    </w:p>
    <w:p>
      <w:pPr>
        <w:spacing w:line="600" w:lineRule="exact"/>
        <w:rPr>
          <w:rFonts w:ascii="宋体" w:hAnsi="宋体" w:eastAsia="宋体" w:cs="宋体"/>
          <w:b/>
          <w:kern w:val="0"/>
          <w:sz w:val="24"/>
          <w:szCs w:val="24"/>
          <w:lang w:val="zh-CN"/>
        </w:rPr>
      </w:pPr>
      <w:r>
        <w:rPr>
          <w:rFonts w:hint="eastAsia" w:ascii="宋体" w:hAnsi="宋体" w:eastAsia="宋体" w:cs="宋体"/>
          <w:b/>
          <w:kern w:val="0"/>
          <w:sz w:val="24"/>
          <w:szCs w:val="24"/>
          <w:lang w:val="zh-CN"/>
        </w:rPr>
        <w:t>十一.开标信息：</w:t>
      </w:r>
    </w:p>
    <w:p>
      <w:pPr>
        <w:spacing w:line="600" w:lineRule="exact"/>
        <w:ind w:firstLine="470" w:firstLineChars="196"/>
        <w:rPr>
          <w:rFonts w:ascii="宋体" w:hAnsi="宋体" w:eastAsia="宋体" w:cs="宋体"/>
          <w:kern w:val="0"/>
          <w:sz w:val="24"/>
          <w:szCs w:val="24"/>
        </w:rPr>
      </w:pPr>
      <w:r>
        <w:rPr>
          <w:rFonts w:hint="eastAsia" w:ascii="宋体" w:hAnsi="宋体" w:eastAsia="宋体" w:cs="宋体"/>
          <w:kern w:val="0"/>
          <w:sz w:val="24"/>
          <w:szCs w:val="24"/>
        </w:rPr>
        <w:t>开标时间：</w:t>
      </w:r>
      <w:r>
        <w:rPr>
          <w:rFonts w:hint="eastAsia" w:ascii="宋体" w:hAnsi="宋体" w:eastAsia="宋体" w:cs="宋体"/>
          <w:kern w:val="0"/>
          <w:sz w:val="24"/>
          <w:szCs w:val="24"/>
          <w:u w:val="single"/>
        </w:rPr>
        <w:t xml:space="preserve"> 2018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7</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17</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日09时30分</w:t>
      </w:r>
    </w:p>
    <w:p>
      <w:pPr>
        <w:widowControl/>
        <w:spacing w:line="600" w:lineRule="exact"/>
        <w:ind w:firstLine="470" w:firstLineChars="196"/>
        <w:jc w:val="left"/>
        <w:rPr>
          <w:rFonts w:ascii="宋体" w:hAnsi="宋体" w:eastAsia="宋体" w:cs="宋体"/>
          <w:kern w:val="0"/>
          <w:sz w:val="24"/>
          <w:szCs w:val="24"/>
        </w:rPr>
      </w:pPr>
      <w:r>
        <w:rPr>
          <w:rFonts w:hint="eastAsia" w:ascii="宋体" w:hAnsi="宋体" w:eastAsia="宋体" w:cs="宋体"/>
          <w:kern w:val="0"/>
          <w:sz w:val="24"/>
          <w:szCs w:val="24"/>
        </w:rPr>
        <w:t>开标地点：华中师范大学行政楼附楼开标一室（201会议室）</w:t>
      </w:r>
    </w:p>
    <w:p>
      <w:pPr>
        <w:spacing w:line="600" w:lineRule="exact"/>
        <w:rPr>
          <w:rFonts w:ascii="宋体" w:hAnsi="宋体" w:eastAsia="宋体" w:cs="宋体"/>
          <w:sz w:val="24"/>
          <w:szCs w:val="24"/>
        </w:rPr>
      </w:pPr>
      <w:r>
        <w:rPr>
          <w:rFonts w:hint="eastAsia" w:ascii="宋体" w:hAnsi="宋体" w:eastAsia="宋体" w:cs="宋体"/>
          <w:b/>
          <w:kern w:val="0"/>
          <w:sz w:val="24"/>
          <w:szCs w:val="24"/>
          <w:lang w:val="zh-CN"/>
        </w:rPr>
        <w:t>十二.公告期限：</w:t>
      </w:r>
      <w:r>
        <w:rPr>
          <w:rFonts w:hint="eastAsia" w:ascii="宋体" w:hAnsi="宋体" w:eastAsia="宋体" w:cs="宋体"/>
          <w:sz w:val="24"/>
          <w:szCs w:val="24"/>
        </w:rPr>
        <w:t>自公告发布之日起5个工作日。</w:t>
      </w:r>
    </w:p>
    <w:p>
      <w:pPr>
        <w:spacing w:line="600" w:lineRule="exact"/>
        <w:rPr>
          <w:rFonts w:ascii="宋体" w:hAnsi="宋体" w:eastAsia="宋体" w:cs="宋体"/>
          <w:b/>
          <w:kern w:val="0"/>
          <w:sz w:val="24"/>
          <w:szCs w:val="24"/>
          <w:lang w:val="zh-CN"/>
        </w:rPr>
      </w:pPr>
      <w:r>
        <w:rPr>
          <w:rFonts w:hint="eastAsia" w:ascii="宋体" w:hAnsi="宋体" w:eastAsia="宋体" w:cs="宋体"/>
          <w:b/>
          <w:kern w:val="0"/>
          <w:sz w:val="24"/>
          <w:szCs w:val="24"/>
          <w:lang w:val="zh-CN"/>
        </w:rPr>
        <w:t>十三.公告发布媒体：</w:t>
      </w:r>
      <w:r>
        <w:rPr>
          <w:rFonts w:hint="eastAsia" w:ascii="宋体" w:hAnsi="宋体" w:eastAsia="宋体" w:cs="宋体"/>
          <w:bCs/>
          <w:kern w:val="0"/>
          <w:sz w:val="24"/>
          <w:szCs w:val="24"/>
          <w:lang w:val="zh-CN"/>
        </w:rPr>
        <w:t>中国政府采购网、湖北国华招标咨询有限公司网站</w:t>
      </w:r>
    </w:p>
    <w:p>
      <w:pPr>
        <w:spacing w:line="600" w:lineRule="exact"/>
        <w:rPr>
          <w:rFonts w:ascii="宋体" w:hAnsi="宋体" w:eastAsia="宋体" w:cs="宋体"/>
          <w:b/>
          <w:kern w:val="0"/>
          <w:sz w:val="24"/>
          <w:szCs w:val="24"/>
          <w:lang w:val="zh-CN"/>
        </w:rPr>
      </w:pPr>
      <w:r>
        <w:rPr>
          <w:rFonts w:hint="eastAsia" w:ascii="宋体" w:hAnsi="宋体" w:eastAsia="宋体" w:cs="宋体"/>
          <w:b/>
          <w:kern w:val="0"/>
          <w:sz w:val="24"/>
          <w:szCs w:val="24"/>
          <w:lang w:val="zh-CN"/>
        </w:rPr>
        <w:t>十四.质疑：</w:t>
      </w:r>
    </w:p>
    <w:p>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rPr>
        <w:t>供应商认为招标文件、招标过程和中标结果使自己的权益受到损害的，可以在知道或者应知其权益受到损害之日起7个工作日内，向湖北国华招标咨询有限公司提出质疑，质疑提出时间以递交质疑文件时间为准。</w:t>
      </w:r>
    </w:p>
    <w:p>
      <w:pPr>
        <w:spacing w:line="600" w:lineRule="exact"/>
        <w:rPr>
          <w:rFonts w:ascii="宋体" w:hAnsi="宋体" w:eastAsia="宋体" w:cs="宋体"/>
          <w:b/>
          <w:kern w:val="0"/>
          <w:sz w:val="24"/>
          <w:szCs w:val="24"/>
          <w:lang w:val="zh-CN"/>
        </w:rPr>
      </w:pPr>
      <w:r>
        <w:rPr>
          <w:rFonts w:hint="eastAsia" w:ascii="宋体" w:hAnsi="宋体" w:eastAsia="宋体" w:cs="宋体"/>
          <w:b/>
          <w:kern w:val="0"/>
          <w:sz w:val="24"/>
          <w:szCs w:val="24"/>
          <w:lang w:val="zh-CN"/>
        </w:rPr>
        <w:t>十五.联系方式：</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 购 人：华中师范大学</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    址：湖北省武汉市洪山区珞喻路152号</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邮    编：430074</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采购联系人：李老师</w:t>
      </w:r>
    </w:p>
    <w:p>
      <w:pPr>
        <w:widowControl/>
        <w:spacing w:line="600" w:lineRule="exact"/>
        <w:ind w:firstLine="48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电    话：027-67862906</w:t>
      </w:r>
    </w:p>
    <w:p>
      <w:pPr>
        <w:widowControl/>
        <w:spacing w:line="600" w:lineRule="exact"/>
        <w:ind w:firstLine="48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技术联系人：李老师</w:t>
      </w:r>
    </w:p>
    <w:p>
      <w:pPr>
        <w:widowControl/>
        <w:spacing w:line="600" w:lineRule="exact"/>
        <w:ind w:firstLine="480"/>
        <w:jc w:val="left"/>
        <w:rPr>
          <w:rFonts w:ascii="宋体" w:hAnsi="宋体" w:eastAsia="宋体" w:cs="宋体"/>
          <w:bCs/>
          <w:color w:val="auto"/>
          <w:kern w:val="0"/>
          <w:sz w:val="24"/>
          <w:szCs w:val="24"/>
        </w:rPr>
      </w:pPr>
      <w:r>
        <w:rPr>
          <w:rFonts w:hint="eastAsia" w:ascii="宋体" w:hAnsi="宋体" w:eastAsia="宋体" w:cs="宋体"/>
          <w:bCs/>
          <w:color w:val="auto"/>
          <w:kern w:val="0"/>
          <w:sz w:val="24"/>
          <w:szCs w:val="24"/>
        </w:rPr>
        <w:t>电    话：027-</w:t>
      </w:r>
      <w:r>
        <w:rPr>
          <w:rFonts w:ascii="宋体" w:hAnsi="宋体" w:eastAsia="宋体" w:cs="宋体"/>
          <w:bCs/>
          <w:color w:val="auto"/>
          <w:kern w:val="0"/>
          <w:sz w:val="24"/>
          <w:szCs w:val="24"/>
        </w:rPr>
        <w:t>67862900</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采购代理机构：湖北国华招标咨询有限公司</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地    址：武汉市武昌区中北路109号中铁1818中心10楼</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邮    编：430071</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 xml:space="preserve">联 系 人：万军 廖寿杰  </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电    话：027-87272718</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传    真：027-87272718</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 xml:space="preserve"> </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 xml:space="preserve">                                     湖北国华招标咨询有限公司 </w:t>
      </w:r>
    </w:p>
    <w:p>
      <w:pPr>
        <w:widowControl/>
        <w:spacing w:line="600" w:lineRule="exact"/>
        <w:ind w:firstLine="480"/>
        <w:jc w:val="left"/>
        <w:rPr>
          <w:rFonts w:ascii="宋体" w:hAnsi="宋体" w:eastAsia="宋体" w:cs="宋体"/>
          <w:bCs/>
          <w:kern w:val="0"/>
          <w:sz w:val="24"/>
          <w:szCs w:val="24"/>
        </w:rPr>
      </w:pPr>
      <w:r>
        <w:rPr>
          <w:rFonts w:hint="eastAsia" w:ascii="宋体" w:hAnsi="宋体" w:eastAsia="宋体" w:cs="宋体"/>
          <w:bCs/>
          <w:kern w:val="0"/>
          <w:sz w:val="24"/>
          <w:szCs w:val="24"/>
        </w:rPr>
        <w:t xml:space="preserve">                                        2018年</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kern w:val="0"/>
          <w:sz w:val="24"/>
          <w:szCs w:val="24"/>
          <w:lang w:val="en-US" w:eastAsia="zh-CN"/>
        </w:rPr>
        <w:t>22</w:t>
      </w:r>
      <w:r>
        <w:rPr>
          <w:rFonts w:hint="eastAsia" w:ascii="宋体" w:hAnsi="宋体" w:eastAsia="宋体" w:cs="宋体"/>
          <w:bCs/>
          <w:kern w:val="0"/>
          <w:sz w:val="24"/>
          <w:szCs w:val="24"/>
        </w:rPr>
        <w:t>日</w:t>
      </w:r>
    </w:p>
    <w:p>
      <w:pPr>
        <w:widowControl/>
        <w:spacing w:line="600" w:lineRule="exact"/>
        <w:ind w:firstLine="480"/>
        <w:jc w:val="left"/>
        <w:rPr>
          <w:rFonts w:ascii="宋体" w:hAnsi="宋体" w:eastAsia="宋体" w:cs="宋体"/>
          <w:bCs/>
          <w:kern w:val="0"/>
          <w:sz w:val="24"/>
          <w:szCs w:val="24"/>
        </w:rPr>
        <w:sectPr>
          <w:headerReference r:id="rId7" w:type="default"/>
          <w:footerReference r:id="rId8" w:type="default"/>
          <w:pgSz w:w="11906" w:h="16838"/>
          <w:pgMar w:top="1134" w:right="1191" w:bottom="1134" w:left="1191" w:header="851" w:footer="624" w:gutter="0"/>
          <w:pgNumType w:start="1"/>
          <w:cols w:space="425" w:num="1"/>
          <w:docGrid w:type="linesAndChars" w:linePitch="312" w:charSpace="0"/>
        </w:sectPr>
      </w:pPr>
    </w:p>
    <w:p>
      <w:pPr>
        <w:widowControl/>
        <w:spacing w:line="600" w:lineRule="exact"/>
        <w:jc w:val="left"/>
        <w:rPr>
          <w:rFonts w:ascii="宋体" w:hAnsi="宋体" w:eastAsia="宋体" w:cs="宋体"/>
          <w:bCs/>
          <w:kern w:val="0"/>
          <w:sz w:val="24"/>
          <w:szCs w:val="24"/>
        </w:rPr>
      </w:pPr>
      <w:bookmarkStart w:id="90" w:name="_GoBack"/>
      <w:r>
        <w:rPr>
          <w:rFonts w:hint="eastAsia" w:ascii="宋体" w:hAnsi="宋体" w:eastAsia="宋体" w:cs="宋体"/>
          <w:bCs/>
          <w:kern w:val="0"/>
          <w:sz w:val="24"/>
          <w:szCs w:val="24"/>
        </w:rPr>
        <w:t>附表：</w:t>
      </w:r>
    </w:p>
    <w:p>
      <w:pPr>
        <w:autoSpaceDE w:val="0"/>
        <w:autoSpaceDN w:val="0"/>
        <w:adjustRightInd w:val="0"/>
        <w:spacing w:line="480" w:lineRule="auto"/>
        <w:jc w:val="center"/>
        <w:rPr>
          <w:rFonts w:ascii="宋体" w:hAnsi="宋体" w:eastAsia="宋体" w:cs="宋体"/>
          <w:b/>
          <w:bCs/>
          <w:szCs w:val="21"/>
        </w:rPr>
      </w:pPr>
      <w:r>
        <w:rPr>
          <w:rFonts w:hint="eastAsia" w:ascii="宋体" w:hAnsi="宋体" w:eastAsia="宋体" w:cs="宋体"/>
          <w:b/>
          <w:szCs w:val="21"/>
          <w:lang w:val="zh-CN"/>
        </w:rPr>
        <w:t>货物需求一览表</w:t>
      </w:r>
    </w:p>
    <w:p>
      <w:pPr>
        <w:autoSpaceDE w:val="0"/>
        <w:autoSpaceDN w:val="0"/>
        <w:adjustRightInd w:val="0"/>
        <w:rPr>
          <w:rFonts w:ascii="宋体" w:hAnsi="宋体" w:eastAsia="宋体" w:cs="宋体"/>
          <w:szCs w:val="21"/>
          <w:lang w:val="zh-CN"/>
        </w:rPr>
      </w:pPr>
      <w:r>
        <w:rPr>
          <w:rFonts w:hint="eastAsia" w:ascii="宋体" w:hAnsi="宋体" w:eastAsia="宋体" w:cs="宋体"/>
          <w:szCs w:val="21"/>
          <w:lang w:val="zh-CN"/>
        </w:rPr>
        <w:t xml:space="preserve">项目编号： </w:t>
      </w:r>
    </w:p>
    <w:tbl>
      <w:tblPr>
        <w:tblStyle w:val="26"/>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77"/>
        <w:gridCol w:w="706"/>
        <w:gridCol w:w="2750"/>
        <w:gridCol w:w="938"/>
        <w:gridCol w:w="1506"/>
        <w:gridCol w:w="1506"/>
        <w:gridCol w:w="1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3" w:hRule="atLeast"/>
        </w:trPr>
        <w:tc>
          <w:tcPr>
            <w:tcW w:w="777" w:type="dxa"/>
            <w:vMerge w:val="restart"/>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r>
              <w:rPr>
                <w:rFonts w:hint="eastAsia" w:ascii="宋体" w:hAnsi="宋体" w:eastAsia="宋体" w:cs="宋体"/>
                <w:b/>
                <w:bCs/>
                <w:color w:val="auto"/>
                <w:kern w:val="0"/>
                <w:szCs w:val="21"/>
              </w:rPr>
              <w:t>包号</w:t>
            </w:r>
          </w:p>
        </w:tc>
        <w:tc>
          <w:tcPr>
            <w:tcW w:w="706" w:type="dxa"/>
            <w:vMerge w:val="restart"/>
            <w:tcBorders>
              <w:tl2br w:val="nil"/>
              <w:tr2bl w:val="nil"/>
            </w:tcBorders>
            <w:shd w:val="clear" w:color="auto" w:fill="auto"/>
            <w:vAlign w:val="center"/>
          </w:tcPr>
          <w:p>
            <w:pPr>
              <w:widowControl/>
              <w:jc w:val="center"/>
              <w:textAlignment w:val="bottom"/>
              <w:rPr>
                <w:rFonts w:ascii="宋体" w:hAnsi="宋体" w:eastAsia="宋体" w:cs="宋体"/>
                <w:b/>
                <w:bCs/>
                <w:color w:val="auto"/>
                <w:szCs w:val="21"/>
              </w:rPr>
            </w:pPr>
            <w:r>
              <w:rPr>
                <w:rFonts w:hint="eastAsia" w:ascii="宋体" w:hAnsi="宋体" w:eastAsia="宋体" w:cs="宋体"/>
                <w:b/>
                <w:bCs/>
                <w:color w:val="auto"/>
                <w:kern w:val="0"/>
                <w:szCs w:val="21"/>
              </w:rPr>
              <w:t>序号</w:t>
            </w:r>
          </w:p>
        </w:tc>
        <w:tc>
          <w:tcPr>
            <w:tcW w:w="2750" w:type="dxa"/>
            <w:vMerge w:val="restart"/>
            <w:tcBorders>
              <w:tl2br w:val="nil"/>
              <w:tr2bl w:val="nil"/>
            </w:tcBorders>
            <w:shd w:val="clear" w:color="auto" w:fill="auto"/>
            <w:vAlign w:val="center"/>
          </w:tcPr>
          <w:p>
            <w:pPr>
              <w:widowControl/>
              <w:jc w:val="center"/>
              <w:textAlignment w:val="bottom"/>
              <w:rPr>
                <w:rFonts w:ascii="宋体" w:hAnsi="宋体" w:eastAsia="宋体" w:cs="宋体"/>
                <w:b/>
                <w:bCs/>
                <w:color w:val="auto"/>
                <w:szCs w:val="21"/>
              </w:rPr>
            </w:pPr>
            <w:r>
              <w:rPr>
                <w:rFonts w:hint="eastAsia" w:ascii="宋体" w:hAnsi="宋体" w:eastAsia="宋体" w:cs="宋体"/>
                <w:b/>
                <w:bCs/>
                <w:color w:val="auto"/>
                <w:kern w:val="0"/>
                <w:szCs w:val="21"/>
              </w:rPr>
              <w:t>设备名称</w:t>
            </w:r>
          </w:p>
        </w:tc>
        <w:tc>
          <w:tcPr>
            <w:tcW w:w="938" w:type="dxa"/>
            <w:vMerge w:val="restart"/>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r>
              <w:rPr>
                <w:rFonts w:hint="eastAsia" w:ascii="宋体" w:hAnsi="宋体" w:eastAsia="宋体" w:cs="宋体"/>
                <w:b/>
                <w:bCs/>
                <w:color w:val="auto"/>
                <w:kern w:val="0"/>
                <w:szCs w:val="21"/>
              </w:rPr>
              <w:t>数量</w:t>
            </w:r>
          </w:p>
          <w:p>
            <w:pPr>
              <w:widowControl/>
              <w:jc w:val="center"/>
              <w:textAlignment w:val="bottom"/>
              <w:rPr>
                <w:rFonts w:ascii="宋体" w:hAnsi="宋体" w:eastAsia="宋体" w:cs="宋体"/>
                <w:b/>
                <w:bCs/>
                <w:color w:val="auto"/>
                <w:kern w:val="0"/>
                <w:szCs w:val="21"/>
              </w:rPr>
            </w:pPr>
            <w:r>
              <w:rPr>
                <w:rFonts w:hint="eastAsia" w:ascii="宋体" w:hAnsi="宋体" w:eastAsia="宋体" w:cs="宋体"/>
                <w:b/>
                <w:bCs/>
                <w:color w:val="auto"/>
                <w:kern w:val="0"/>
                <w:szCs w:val="21"/>
              </w:rPr>
              <w:t>（套）</w:t>
            </w:r>
          </w:p>
        </w:tc>
        <w:tc>
          <w:tcPr>
            <w:tcW w:w="3012" w:type="dxa"/>
            <w:gridSpan w:val="2"/>
            <w:tcBorders>
              <w:tl2br w:val="nil"/>
              <w:tr2bl w:val="nil"/>
            </w:tcBorders>
            <w:shd w:val="clear" w:color="auto" w:fill="auto"/>
            <w:vAlign w:val="center"/>
          </w:tcPr>
          <w:p>
            <w:pPr>
              <w:autoSpaceDE w:val="0"/>
              <w:autoSpaceDN w:val="0"/>
              <w:adjustRightInd w:val="0"/>
              <w:jc w:val="center"/>
              <w:rPr>
                <w:rFonts w:ascii="宋体" w:hAnsi="宋体" w:eastAsia="宋体" w:cs="宋体"/>
                <w:b/>
                <w:bCs/>
                <w:color w:val="auto"/>
                <w:szCs w:val="21"/>
                <w:lang w:val="zh-CN"/>
              </w:rPr>
            </w:pPr>
            <w:r>
              <w:rPr>
                <w:rFonts w:hint="eastAsia" w:ascii="宋体" w:hAnsi="宋体" w:eastAsia="宋体" w:cs="宋体"/>
                <w:b/>
                <w:bCs/>
                <w:color w:val="auto"/>
                <w:sz w:val="24"/>
                <w:szCs w:val="24"/>
                <w:lang w:val="zh-CN"/>
              </w:rPr>
              <w:t>交    货</w:t>
            </w:r>
          </w:p>
        </w:tc>
        <w:tc>
          <w:tcPr>
            <w:tcW w:w="1177" w:type="dxa"/>
            <w:vMerge w:val="restart"/>
            <w:tcBorders>
              <w:tl2br w:val="nil"/>
              <w:tr2bl w:val="nil"/>
            </w:tcBorders>
            <w:shd w:val="clear" w:color="auto" w:fill="auto"/>
            <w:vAlign w:val="center"/>
          </w:tcPr>
          <w:p>
            <w:pPr>
              <w:autoSpaceDE w:val="0"/>
              <w:autoSpaceDN w:val="0"/>
              <w:adjustRightInd w:val="0"/>
              <w:jc w:val="center"/>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vMerge w:val="continue"/>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p>
        </w:tc>
        <w:tc>
          <w:tcPr>
            <w:tcW w:w="706" w:type="dxa"/>
            <w:vMerge w:val="continue"/>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p>
        </w:tc>
        <w:tc>
          <w:tcPr>
            <w:tcW w:w="2750" w:type="dxa"/>
            <w:vMerge w:val="continue"/>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p>
        </w:tc>
        <w:tc>
          <w:tcPr>
            <w:tcW w:w="938" w:type="dxa"/>
            <w:vMerge w:val="continue"/>
            <w:tcBorders>
              <w:tl2br w:val="nil"/>
              <w:tr2bl w:val="nil"/>
            </w:tcBorders>
            <w:shd w:val="clear" w:color="auto" w:fill="auto"/>
            <w:vAlign w:val="center"/>
          </w:tcPr>
          <w:p>
            <w:pPr>
              <w:widowControl/>
              <w:jc w:val="center"/>
              <w:textAlignment w:val="bottom"/>
              <w:rPr>
                <w:rFonts w:ascii="宋体" w:hAnsi="宋体" w:eastAsia="宋体" w:cs="宋体"/>
                <w:b/>
                <w:bCs/>
                <w:color w:val="auto"/>
                <w:kern w:val="0"/>
                <w:szCs w:val="21"/>
              </w:rPr>
            </w:pPr>
          </w:p>
        </w:tc>
        <w:tc>
          <w:tcPr>
            <w:tcW w:w="1506" w:type="dxa"/>
            <w:tcBorders>
              <w:tl2br w:val="nil"/>
              <w:tr2bl w:val="nil"/>
            </w:tcBorders>
            <w:shd w:val="clear" w:color="auto" w:fill="auto"/>
            <w:vAlign w:val="center"/>
          </w:tcPr>
          <w:p>
            <w:pPr>
              <w:autoSpaceDE w:val="0"/>
              <w:autoSpaceDN w:val="0"/>
              <w:adjustRightInd w:val="0"/>
              <w:jc w:val="center"/>
              <w:rPr>
                <w:rFonts w:ascii="宋体" w:hAnsi="宋体" w:eastAsia="宋体" w:cs="宋体"/>
                <w:b/>
                <w:bCs/>
                <w:color w:val="auto"/>
                <w:szCs w:val="21"/>
                <w:lang w:val="zh-CN"/>
              </w:rPr>
            </w:pPr>
            <w:r>
              <w:rPr>
                <w:rFonts w:hint="eastAsia" w:ascii="宋体" w:hAnsi="宋体" w:eastAsia="宋体" w:cs="宋体"/>
                <w:b/>
                <w:bCs/>
                <w:color w:val="auto"/>
                <w:sz w:val="24"/>
                <w:szCs w:val="24"/>
                <w:lang w:val="zh-CN"/>
              </w:rPr>
              <w:t>时 间</w:t>
            </w:r>
          </w:p>
        </w:tc>
        <w:tc>
          <w:tcPr>
            <w:tcW w:w="1506" w:type="dxa"/>
            <w:tcBorders>
              <w:tl2br w:val="nil"/>
              <w:tr2bl w:val="nil"/>
            </w:tcBorders>
            <w:shd w:val="clear" w:color="auto" w:fill="auto"/>
            <w:vAlign w:val="center"/>
          </w:tcPr>
          <w:p>
            <w:pPr>
              <w:autoSpaceDE w:val="0"/>
              <w:autoSpaceDN w:val="0"/>
              <w:adjustRightInd w:val="0"/>
              <w:jc w:val="center"/>
              <w:rPr>
                <w:rFonts w:ascii="宋体" w:hAnsi="宋体" w:eastAsia="宋体" w:cs="宋体"/>
                <w:b/>
                <w:bCs/>
                <w:color w:val="auto"/>
                <w:szCs w:val="21"/>
                <w:lang w:val="zh-CN"/>
              </w:rPr>
            </w:pPr>
            <w:r>
              <w:rPr>
                <w:rFonts w:hint="eastAsia" w:ascii="宋体" w:hAnsi="宋体" w:eastAsia="宋体" w:cs="宋体"/>
                <w:b/>
                <w:bCs/>
                <w:color w:val="auto"/>
                <w:sz w:val="24"/>
                <w:szCs w:val="24"/>
                <w:lang w:val="zh-CN"/>
              </w:rPr>
              <w:t>地 点</w:t>
            </w:r>
          </w:p>
        </w:tc>
        <w:tc>
          <w:tcPr>
            <w:tcW w:w="1177" w:type="dxa"/>
            <w:vMerge w:val="continue"/>
            <w:tcBorders>
              <w:tl2br w:val="nil"/>
              <w:tr2bl w:val="nil"/>
            </w:tcBorders>
            <w:shd w:val="clear" w:color="auto" w:fill="auto"/>
            <w:vAlign w:val="center"/>
          </w:tcPr>
          <w:p>
            <w:pPr>
              <w:autoSpaceDE w:val="0"/>
              <w:autoSpaceDN w:val="0"/>
              <w:adjustRightInd w:val="0"/>
              <w:jc w:val="center"/>
              <w:rPr>
                <w:rFonts w:ascii="宋体" w:hAnsi="宋体" w:eastAsia="宋体" w:cs="宋体"/>
                <w:b/>
                <w:bCs/>
                <w:color w:val="auto"/>
                <w:sz w:val="24"/>
                <w:szCs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01包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差示扫描量热仪</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Style w:val="42"/>
                <w:rFonts w:hint="default"/>
                <w:color w:val="auto"/>
                <w:sz w:val="21"/>
                <w:szCs w:val="21"/>
                <w:lang w:bidi="ar"/>
              </w:rPr>
              <w:t>1</w:t>
            </w:r>
          </w:p>
        </w:tc>
        <w:tc>
          <w:tcPr>
            <w:tcW w:w="1506" w:type="dxa"/>
            <w:vMerge w:val="restart"/>
            <w:tcBorders>
              <w:tl2br w:val="nil"/>
              <w:tr2bl w:val="nil"/>
            </w:tcBorders>
            <w:shd w:val="clear" w:color="auto" w:fill="auto"/>
            <w:vAlign w:val="center"/>
          </w:tcPr>
          <w:p>
            <w:pPr>
              <w:autoSpaceDE w:val="0"/>
              <w:autoSpaceDN w:val="0"/>
              <w:adjustRightInd w:val="0"/>
              <w:spacing w:line="320" w:lineRule="exact"/>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进口设备：</w:t>
            </w:r>
          </w:p>
          <w:p>
            <w:pPr>
              <w:autoSpaceDE w:val="0"/>
              <w:autoSpaceDN w:val="0"/>
              <w:adjustRightInd w:val="0"/>
              <w:spacing w:line="320" w:lineRule="exact"/>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收到信用证后60个工作日内</w:t>
            </w:r>
          </w:p>
          <w:p>
            <w:pPr>
              <w:autoSpaceDE w:val="0"/>
              <w:autoSpaceDN w:val="0"/>
              <w:adjustRightInd w:val="0"/>
              <w:spacing w:line="320" w:lineRule="exact"/>
              <w:jc w:val="center"/>
              <w:rPr>
                <w:rFonts w:ascii="宋体" w:hAnsi="宋体" w:eastAsia="宋体" w:cs="宋体"/>
                <w:color w:val="auto"/>
                <w:sz w:val="24"/>
                <w:szCs w:val="24"/>
                <w:lang w:val="zh-CN"/>
              </w:rPr>
            </w:pPr>
          </w:p>
          <w:p>
            <w:pPr>
              <w:autoSpaceDE w:val="0"/>
              <w:autoSpaceDN w:val="0"/>
              <w:adjustRightInd w:val="0"/>
              <w:spacing w:line="320" w:lineRule="exact"/>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国产设备：</w:t>
            </w:r>
          </w:p>
          <w:p>
            <w:pPr>
              <w:autoSpaceDE w:val="0"/>
              <w:autoSpaceDN w:val="0"/>
              <w:adjustRightInd w:val="0"/>
              <w:spacing w:line="320" w:lineRule="exact"/>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在合同签订后</w:t>
            </w:r>
          </w:p>
          <w:p>
            <w:pPr>
              <w:autoSpaceDE w:val="0"/>
              <w:autoSpaceDN w:val="0"/>
              <w:adjustRightInd w:val="0"/>
              <w:spacing w:line="320" w:lineRule="exact"/>
              <w:jc w:val="center"/>
              <w:rPr>
                <w:rFonts w:ascii="宋体" w:hAnsi="宋体" w:eastAsia="宋体" w:cs="宋体"/>
                <w:color w:val="auto"/>
                <w:kern w:val="0"/>
                <w:szCs w:val="21"/>
              </w:rPr>
            </w:pPr>
            <w:r>
              <w:rPr>
                <w:rFonts w:hint="eastAsia" w:ascii="宋体" w:hAnsi="宋体" w:eastAsia="宋体" w:cs="宋体"/>
                <w:color w:val="auto"/>
                <w:sz w:val="24"/>
                <w:szCs w:val="24"/>
              </w:rPr>
              <w:t>60</w:t>
            </w:r>
            <w:r>
              <w:rPr>
                <w:rFonts w:hint="eastAsia" w:ascii="宋体" w:hAnsi="宋体" w:eastAsia="宋体" w:cs="宋体"/>
                <w:color w:val="auto"/>
                <w:sz w:val="24"/>
                <w:szCs w:val="24"/>
                <w:lang w:val="zh-CN"/>
              </w:rPr>
              <w:t>天内完成供货安装</w:t>
            </w:r>
          </w:p>
        </w:tc>
        <w:tc>
          <w:tcPr>
            <w:tcW w:w="1506" w:type="dxa"/>
            <w:vMerge w:val="restart"/>
            <w:tcBorders>
              <w:tl2br w:val="nil"/>
              <w:tr2bl w:val="nil"/>
            </w:tcBorders>
            <w:shd w:val="clear" w:color="auto" w:fill="auto"/>
            <w:vAlign w:val="center"/>
          </w:tcPr>
          <w:p>
            <w:pPr>
              <w:autoSpaceDE w:val="0"/>
              <w:autoSpaceDN w:val="0"/>
              <w:adjustRightInd w:val="0"/>
              <w:spacing w:line="320" w:lineRule="exact"/>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p>
            <w:pPr>
              <w:autoSpaceDE w:val="0"/>
              <w:autoSpaceDN w:val="0"/>
              <w:adjustRightInd w:val="0"/>
              <w:spacing w:line="320" w:lineRule="exact"/>
              <w:jc w:val="center"/>
              <w:rPr>
                <w:rFonts w:ascii="宋体" w:hAnsi="宋体" w:eastAsia="宋体" w:cs="宋体"/>
                <w:color w:val="auto"/>
                <w:kern w:val="0"/>
                <w:szCs w:val="21"/>
              </w:rPr>
            </w:pPr>
            <w:r>
              <w:rPr>
                <w:rFonts w:hint="eastAsia" w:ascii="宋体" w:hAnsi="宋体" w:eastAsia="宋体" w:cs="宋体"/>
                <w:color w:val="auto"/>
                <w:sz w:val="24"/>
                <w:szCs w:val="24"/>
                <w:lang w:val="zh-CN"/>
              </w:rPr>
              <w:t>指定安装地点</w:t>
            </w:r>
          </w:p>
        </w:tc>
        <w:tc>
          <w:tcPr>
            <w:tcW w:w="1177" w:type="dxa"/>
            <w:vMerge w:val="restart"/>
            <w:tcBorders>
              <w:tl2br w:val="nil"/>
              <w:tr2bl w:val="nil"/>
            </w:tcBorders>
            <w:shd w:val="clear" w:color="auto" w:fill="auto"/>
            <w:vAlign w:val="center"/>
          </w:tcPr>
          <w:p>
            <w:pPr>
              <w:autoSpaceDE w:val="0"/>
              <w:autoSpaceDN w:val="0"/>
              <w:adjustRightInd w:val="0"/>
              <w:spacing w:line="320" w:lineRule="exact"/>
              <w:jc w:val="center"/>
              <w:rPr>
                <w:rFonts w:ascii="宋体" w:hAnsi="宋体" w:eastAsia="宋体" w:cs="宋体"/>
                <w:color w:val="auto"/>
                <w:kern w:val="0"/>
                <w:szCs w:val="21"/>
              </w:rPr>
            </w:pPr>
            <w:r>
              <w:rPr>
                <w:rFonts w:hint="eastAsia" w:ascii="宋体" w:hAnsi="宋体" w:eastAsia="宋体" w:cs="宋体"/>
                <w:color w:val="auto"/>
                <w:sz w:val="24"/>
                <w:szCs w:val="24"/>
                <w:lang w:val="zh-CN"/>
              </w:rPr>
              <w:t>所需设备均已办理进口备案手续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op w:val="single" w:color="auto" w:sz="4" w:space="0"/>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02包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催化裂解实验装置</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03包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高通量微波消解</w:t>
            </w:r>
            <w:r>
              <w:rPr>
                <w:rFonts w:ascii="宋体" w:hAnsi="宋体" w:eastAsia="宋体" w:cs="宋体"/>
                <w:color w:val="auto"/>
                <w:kern w:val="0"/>
                <w:szCs w:val="21"/>
              </w:rPr>
              <w:t>/</w:t>
            </w:r>
            <w:r>
              <w:rPr>
                <w:rFonts w:hint="eastAsia" w:ascii="宋体" w:hAnsi="宋体" w:eastAsia="宋体" w:cs="宋体"/>
                <w:color w:val="auto"/>
                <w:kern w:val="0"/>
                <w:szCs w:val="21"/>
              </w:rPr>
              <w:t>萃取工作站</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ascii="宋体" w:hAnsi="宋体" w:eastAsia="宋体" w:cs="宋体"/>
                <w:color w:val="auto"/>
                <w:kern w:val="0"/>
                <w:szCs w:val="21"/>
                <w:lang w:bidi="ar"/>
              </w:rPr>
              <w:t>1</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04包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万能拉力机</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ascii="宋体" w:hAnsi="宋体" w:eastAsia="宋体" w:cs="宋体"/>
                <w:color w:val="auto"/>
                <w:kern w:val="0"/>
                <w:szCs w:val="21"/>
                <w:lang w:bidi="ar"/>
              </w:rPr>
              <w:t>1</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05包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LED光源系统</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8</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06包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固定流化床催化裂化实验</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ascii="宋体" w:hAnsi="宋体" w:eastAsia="宋体" w:cs="宋体"/>
                <w:color w:val="auto"/>
                <w:kern w:val="0"/>
                <w:szCs w:val="21"/>
                <w:lang w:bidi="ar"/>
              </w:rPr>
              <w:t>4</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6" w:hRule="atLeast"/>
        </w:trPr>
        <w:tc>
          <w:tcPr>
            <w:tcW w:w="777" w:type="dxa"/>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r>
              <w:rPr>
                <w:rFonts w:hint="eastAsia" w:ascii="宋体" w:hAnsi="宋体" w:eastAsia="宋体" w:cs="宋体"/>
                <w:color w:val="auto"/>
                <w:kern w:val="0"/>
                <w:szCs w:val="21"/>
              </w:rPr>
              <w:t>07包</w:t>
            </w:r>
          </w:p>
        </w:tc>
        <w:tc>
          <w:tcPr>
            <w:tcW w:w="706"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2750"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高效液相色谱仪</w:t>
            </w:r>
          </w:p>
        </w:tc>
        <w:tc>
          <w:tcPr>
            <w:tcW w:w="938" w:type="dxa"/>
            <w:tcBorders>
              <w:tl2br w:val="nil"/>
              <w:tr2bl w:val="nil"/>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506"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c>
          <w:tcPr>
            <w:tcW w:w="1177" w:type="dxa"/>
            <w:vMerge w:val="continue"/>
            <w:tcBorders>
              <w:tl2br w:val="nil"/>
              <w:tr2bl w:val="nil"/>
            </w:tcBorders>
            <w:shd w:val="clear" w:color="auto" w:fill="auto"/>
            <w:vAlign w:val="center"/>
          </w:tcPr>
          <w:p>
            <w:pPr>
              <w:widowControl/>
              <w:jc w:val="center"/>
              <w:textAlignment w:val="bottom"/>
              <w:rPr>
                <w:rFonts w:ascii="宋体" w:hAnsi="宋体" w:eastAsia="宋体" w:cs="宋体"/>
                <w:color w:val="auto"/>
                <w:kern w:val="0"/>
                <w:szCs w:val="21"/>
              </w:rPr>
            </w:pPr>
          </w:p>
        </w:tc>
      </w:tr>
    </w:tbl>
    <w:p>
      <w:pPr>
        <w:autoSpaceDE w:val="0"/>
        <w:autoSpaceDN w:val="0"/>
        <w:adjustRightInd w:val="0"/>
        <w:spacing w:line="360" w:lineRule="auto"/>
        <w:ind w:left="413" w:hanging="411" w:hangingChars="196"/>
        <w:rPr>
          <w:b/>
          <w:bCs/>
          <w:sz w:val="30"/>
          <w:szCs w:val="30"/>
          <w:lang w:val="zh-CN"/>
        </w:rPr>
      </w:pPr>
      <w:r>
        <w:rPr>
          <w:rFonts w:hint="eastAsia"/>
          <w:b/>
          <w:bCs/>
          <w:szCs w:val="21"/>
          <w:lang w:val="zh-CN"/>
        </w:rPr>
        <w:t>注：供应商可对本次招标所需设备各包进行选择性投标，也可同时投标；但评标时将以包为单位进行独立评标，分别确定中标人。供应商若同时投多个包，则须分别编制投标文件、分别报价。（本项目所需设备均已办理进口备案手续。）</w:t>
      </w:r>
    </w:p>
    <w:bookmarkEnd w:id="90"/>
    <w:p>
      <w:pPr>
        <w:widowControl/>
        <w:spacing w:line="600" w:lineRule="exact"/>
        <w:jc w:val="left"/>
        <w:rPr>
          <w:rFonts w:ascii="宋体" w:hAnsi="宋体" w:eastAsia="宋体" w:cs="宋体"/>
          <w:bCs/>
          <w:kern w:val="0"/>
          <w:sz w:val="24"/>
          <w:szCs w:val="24"/>
        </w:rPr>
      </w:pPr>
    </w:p>
    <w:p>
      <w:pPr>
        <w:widowControl/>
        <w:jc w:val="left"/>
        <w:rPr>
          <w:rFonts w:ascii="宋体" w:hAnsi="宋体" w:eastAsia="宋体" w:cs="宋体"/>
          <w:b/>
          <w:sz w:val="28"/>
          <w:szCs w:val="28"/>
          <w:lang w:val="zh-CN"/>
        </w:rPr>
      </w:pPr>
      <w:r>
        <w:rPr>
          <w:rFonts w:hint="eastAsia" w:ascii="宋体" w:hAnsi="宋体" w:eastAsia="宋体" w:cs="宋体"/>
          <w:b/>
          <w:sz w:val="28"/>
          <w:szCs w:val="28"/>
          <w:lang w:val="zh-CN"/>
        </w:rPr>
        <w:br w:type="page"/>
      </w:r>
    </w:p>
    <w:p>
      <w:pPr>
        <w:pStyle w:val="2"/>
        <w:numPr>
          <w:ilvl w:val="0"/>
          <w:numId w:val="1"/>
        </w:numPr>
        <w:spacing w:before="240" w:after="120"/>
        <w:ind w:left="883" w:hanging="880" w:hangingChars="200"/>
        <w:jc w:val="center"/>
        <w:rPr>
          <w:rFonts w:ascii="宋体" w:hAnsi="宋体" w:eastAsia="宋体" w:cs="宋体"/>
        </w:rPr>
      </w:pPr>
      <w:bookmarkStart w:id="1" w:name="_Toc495848886"/>
      <w:r>
        <w:rPr>
          <w:rFonts w:hint="eastAsia" w:ascii="宋体" w:hAnsi="宋体" w:eastAsia="宋体" w:cs="宋体"/>
        </w:rPr>
        <w:t>供应商须知</w:t>
      </w:r>
      <w:bookmarkEnd w:id="1"/>
    </w:p>
    <w:p>
      <w:pPr>
        <w:keepNext/>
        <w:keepLines/>
        <w:spacing w:line="360" w:lineRule="auto"/>
        <w:jc w:val="center"/>
        <w:outlineLvl w:val="1"/>
        <w:rPr>
          <w:rFonts w:ascii="宋体" w:hAnsi="宋体" w:eastAsia="宋体" w:cs="宋体"/>
          <w:b/>
          <w:bCs/>
          <w:sz w:val="32"/>
          <w:szCs w:val="32"/>
          <w:lang w:val="zh-CN"/>
        </w:rPr>
      </w:pPr>
      <w:bookmarkStart w:id="2" w:name="_Toc494561937"/>
      <w:bookmarkStart w:id="3" w:name="_Toc495848887"/>
      <w:r>
        <w:rPr>
          <w:rFonts w:hint="eastAsia" w:ascii="宋体" w:hAnsi="宋体" w:eastAsia="宋体" w:cs="宋体"/>
          <w:b/>
          <w:bCs/>
          <w:sz w:val="32"/>
          <w:szCs w:val="32"/>
          <w:lang w:val="zh-CN"/>
        </w:rPr>
        <w:t>投标须知前附表</w:t>
      </w:r>
      <w:bookmarkEnd w:id="2"/>
      <w:bookmarkEnd w:id="3"/>
    </w:p>
    <w:tbl>
      <w:tblPr>
        <w:tblStyle w:val="2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18" w:hRule="atLeast"/>
        </w:trPr>
        <w:tc>
          <w:tcPr>
            <w:tcW w:w="676" w:type="dxa"/>
            <w:tcBorders>
              <w:top w:val="single" w:color="auto" w:sz="4" w:space="0"/>
              <w:bottom w:val="single" w:color="auto" w:sz="4" w:space="0"/>
              <w:right w:val="single" w:color="auto" w:sz="4" w:space="0"/>
            </w:tcBorders>
            <w:vAlign w:val="center"/>
          </w:tcPr>
          <w:p>
            <w:pPr>
              <w:spacing w:line="360" w:lineRule="auto"/>
              <w:ind w:left="-52" w:leftChars="-25" w:right="-27" w:rightChars="-13"/>
              <w:jc w:val="center"/>
              <w:rPr>
                <w:rFonts w:ascii="宋体" w:hAnsi="宋体" w:eastAsia="宋体" w:cs="宋体"/>
                <w:b/>
                <w:sz w:val="24"/>
                <w:szCs w:val="24"/>
              </w:rPr>
            </w:pPr>
            <w:r>
              <w:rPr>
                <w:rFonts w:hint="eastAsia" w:ascii="宋体" w:hAnsi="宋体" w:eastAsia="宋体" w:cs="宋体"/>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cs="宋体"/>
                <w:b/>
                <w:sz w:val="24"/>
                <w:szCs w:val="24"/>
              </w:rPr>
            </w:pPr>
            <w:r>
              <w:rPr>
                <w:rFonts w:hint="eastAsia" w:ascii="宋体" w:hAnsi="宋体" w:eastAsia="宋体" w:cs="宋体"/>
                <w:b/>
                <w:sz w:val="24"/>
                <w:szCs w:val="24"/>
              </w:rPr>
              <w:t>名  称</w:t>
            </w:r>
          </w:p>
        </w:tc>
        <w:tc>
          <w:tcPr>
            <w:tcW w:w="6470"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宋体" w:hAnsi="宋体" w:eastAsia="宋体" w:cs="宋体"/>
                <w:b/>
                <w:sz w:val="24"/>
                <w:szCs w:val="24"/>
              </w:rPr>
            </w:pPr>
            <w:r>
              <w:rPr>
                <w:rFonts w:hint="eastAsia" w:ascii="宋体" w:hAnsi="宋体" w:eastAsia="宋体" w:cs="宋体"/>
                <w:b/>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项目编号</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华中师范大学2018年度应用化学实验室新增设备购置项目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项目属性</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采购人</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华中师范大学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投标保证金</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保证金金额：</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01包：人民币壹万壹仟元整（¥11,000.00）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02包：人民币伍仟肆佰元整（¥5,400.00）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03包：人民币贰仟陆佰元整（¥2,600.00）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04包：人民币壹仟捌佰元整（¥1,800.00）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05包：人民币贰仟元整（¥2,000.00）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06包：人民币柒仟捌佰元整（¥7,800.00）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07包：人民币伍仟元整（¥5,000.00）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保证金递交要求：从投标人基本存款账户汇至以下指定账户，并注明项目编号。在2018年</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hint="eastAsia" w:ascii="宋体" w:hAnsi="宋体" w:eastAsia="宋体" w:cs="宋体"/>
                <w:kern w:val="0"/>
                <w:sz w:val="24"/>
                <w:szCs w:val="24"/>
              </w:rPr>
              <w:t>日9时30分前到账（以银行到账时间为准）。在投标保证金到账截止时间前未按规定金额、未按要求从基本存款账户汇至指定账户或未注明项目编号的视为未提交投标保证金。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3"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采购代理机构账户信息</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户  名：湖北国华招标咨询有限公司</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开户行：中国民生银行武汉中南支行</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账  号：0505 0142 1000 5225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投标文件份数</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资格预审</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开标时间、地点</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备选方案</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实物样品</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现场考察</w:t>
            </w:r>
          </w:p>
        </w:tc>
        <w:tc>
          <w:tcPr>
            <w:tcW w:w="6470" w:type="dxa"/>
            <w:tcBorders>
              <w:top w:val="single" w:color="auto" w:sz="4" w:space="0"/>
              <w:left w:val="single" w:color="auto" w:sz="4" w:space="0"/>
              <w:bottom w:val="single" w:color="auto" w:sz="4" w:space="0"/>
            </w:tcBorders>
            <w:vAlign w:val="center"/>
          </w:tcPr>
          <w:p>
            <w:pPr>
              <w:spacing w:line="360" w:lineRule="auto"/>
              <w:ind w:right="-105" w:rightChars="-50"/>
              <w:rPr>
                <w:rFonts w:ascii="宋体" w:hAnsi="宋体" w:eastAsia="宋体" w:cs="宋体"/>
                <w:sz w:val="24"/>
                <w:szCs w:val="24"/>
              </w:rPr>
            </w:pPr>
            <w:r>
              <w:rPr>
                <w:rFonts w:hint="eastAsia" w:ascii="宋体" w:hAnsi="宋体" w:eastAsia="宋体" w:cs="宋体"/>
                <w:sz w:val="24"/>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中标后分包</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评标办法</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综合评分法</w:t>
            </w:r>
          </w:p>
          <w:p>
            <w:pPr>
              <w:spacing w:line="360" w:lineRule="auto"/>
              <w:rPr>
                <w:rFonts w:ascii="宋体" w:hAnsi="宋体" w:eastAsia="宋体" w:cs="宋体"/>
                <w:sz w:val="24"/>
                <w:szCs w:val="24"/>
                <w:lang w:val="zh-CN"/>
              </w:rPr>
            </w:pPr>
            <w:r>
              <w:rPr>
                <w:rFonts w:hint="eastAsia" w:ascii="宋体" w:hAnsi="宋体" w:eastAsia="宋体" w:cs="宋体"/>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中小企业</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监狱企业</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履约保证金</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spacing w:line="360" w:lineRule="auto"/>
              <w:ind w:right="57"/>
              <w:jc w:val="center"/>
              <w:rPr>
                <w:rFonts w:ascii="宋体" w:hAnsi="宋体" w:eastAsia="宋体" w:cs="宋体"/>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其他</w:t>
            </w:r>
          </w:p>
        </w:tc>
        <w:tc>
          <w:tcPr>
            <w:tcW w:w="647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本项目所需设备均已办理进口备案手续。</w:t>
            </w:r>
          </w:p>
        </w:tc>
      </w:tr>
    </w:tbl>
    <w:p>
      <w:pPr>
        <w:keepNext/>
        <w:keepLines/>
        <w:numPr>
          <w:ilvl w:val="0"/>
          <w:numId w:val="3"/>
        </w:numPr>
        <w:spacing w:before="100" w:beforeAutospacing="1" w:after="100" w:afterAutospacing="1" w:line="360" w:lineRule="auto"/>
        <w:ind w:left="482" w:hanging="480" w:hangingChars="150"/>
        <w:outlineLvl w:val="1"/>
        <w:rPr>
          <w:rFonts w:ascii="宋体" w:hAnsi="宋体" w:eastAsia="宋体" w:cs="宋体"/>
          <w:b/>
          <w:bCs/>
          <w:sz w:val="32"/>
          <w:szCs w:val="32"/>
          <w:lang w:val="zh-CN"/>
        </w:rPr>
      </w:pPr>
      <w:bookmarkStart w:id="4" w:name="_Toc494561938"/>
      <w:r>
        <w:rPr>
          <w:rFonts w:hint="eastAsia" w:ascii="宋体" w:hAnsi="宋体" w:eastAsia="宋体" w:cs="宋体"/>
          <w:b/>
          <w:bCs/>
          <w:sz w:val="32"/>
          <w:szCs w:val="32"/>
          <w:lang w:val="zh-CN"/>
        </w:rPr>
        <w:br w:type="page"/>
      </w:r>
    </w:p>
    <w:p>
      <w:pPr>
        <w:pStyle w:val="3"/>
        <w:numPr>
          <w:ilvl w:val="0"/>
          <w:numId w:val="4"/>
        </w:numPr>
        <w:spacing w:before="40" w:after="40" w:line="360" w:lineRule="auto"/>
        <w:ind w:left="658" w:hanging="658"/>
        <w:jc w:val="left"/>
        <w:rPr>
          <w:rFonts w:ascii="宋体" w:hAnsi="宋体" w:eastAsia="宋体" w:cs="宋体"/>
          <w:bCs w:val="0"/>
          <w:lang w:val="zh-CN"/>
        </w:rPr>
      </w:pPr>
      <w:bookmarkStart w:id="5" w:name="_Toc495848888"/>
      <w:r>
        <w:rPr>
          <w:rFonts w:hint="eastAsia" w:ascii="宋体" w:hAnsi="宋体" w:eastAsia="宋体" w:cs="宋体"/>
          <w:bCs w:val="0"/>
          <w:lang w:val="zh-CN"/>
        </w:rPr>
        <w:t>说  明</w:t>
      </w:r>
      <w:bookmarkEnd w:id="4"/>
      <w:bookmarkEnd w:id="5"/>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适用范围</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招标文件仅适用于第一章“投标邀请书”中所述项目的货物、工程及服务的采购。</w:t>
      </w:r>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当事人定义</w:t>
      </w:r>
    </w:p>
    <w:p>
      <w:pPr>
        <w:numPr>
          <w:ilvl w:val="0"/>
          <w:numId w:val="6"/>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“采购人”是指：</w:t>
      </w:r>
      <w:r>
        <w:rPr>
          <w:rFonts w:hint="eastAsia" w:ascii="宋体" w:hAnsi="宋体" w:eastAsia="宋体" w:cs="宋体"/>
          <w:sz w:val="24"/>
          <w:szCs w:val="24"/>
          <w:lang w:val="zh-CN"/>
        </w:rPr>
        <w:t>详见第一章“投标邀请书”。</w:t>
      </w:r>
    </w:p>
    <w:p>
      <w:pPr>
        <w:numPr>
          <w:ilvl w:val="0"/>
          <w:numId w:val="6"/>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“监管部门”是指：</w:t>
      </w:r>
      <w:r>
        <w:rPr>
          <w:rFonts w:hint="eastAsia" w:ascii="宋体" w:hAnsi="宋体" w:eastAsia="宋体" w:cs="宋体"/>
          <w:sz w:val="24"/>
          <w:szCs w:val="24"/>
          <w:lang w:val="zh-CN"/>
        </w:rPr>
        <w:t>中华人民共和国财政部。</w:t>
      </w:r>
    </w:p>
    <w:p>
      <w:pPr>
        <w:numPr>
          <w:ilvl w:val="0"/>
          <w:numId w:val="6"/>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“采购代理机构”是指：</w:t>
      </w:r>
      <w:r>
        <w:rPr>
          <w:rFonts w:hint="eastAsia" w:ascii="宋体" w:hAnsi="宋体" w:eastAsia="宋体" w:cs="宋体"/>
          <w:sz w:val="24"/>
          <w:szCs w:val="24"/>
          <w:lang w:val="zh-CN"/>
        </w:rPr>
        <w:t>湖北国华招标咨询有限公司。</w:t>
      </w:r>
    </w:p>
    <w:p>
      <w:pPr>
        <w:numPr>
          <w:ilvl w:val="0"/>
          <w:numId w:val="6"/>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“供应商”是指：</w:t>
      </w:r>
      <w:r>
        <w:rPr>
          <w:rFonts w:hint="eastAsia" w:ascii="宋体" w:hAnsi="宋体" w:eastAsia="宋体" w:cs="宋体"/>
          <w:kern w:val="0"/>
          <w:sz w:val="24"/>
          <w:szCs w:val="24"/>
          <w:lang w:val="zh-CN"/>
        </w:rPr>
        <w:t>响应招标、参加投标竞争的法人、其他组织或者自然人。</w:t>
      </w:r>
    </w:p>
    <w:p>
      <w:pPr>
        <w:numPr>
          <w:ilvl w:val="0"/>
          <w:numId w:val="6"/>
        </w:numPr>
        <w:spacing w:line="360" w:lineRule="auto"/>
        <w:ind w:left="476" w:hanging="476"/>
        <w:rPr>
          <w:rFonts w:ascii="宋体" w:hAnsi="宋体" w:eastAsia="宋体" w:cs="宋体"/>
          <w:kern w:val="0"/>
          <w:sz w:val="24"/>
          <w:szCs w:val="24"/>
          <w:lang w:val="zh-CN"/>
        </w:rPr>
      </w:pPr>
      <w:r>
        <w:rPr>
          <w:rFonts w:hint="eastAsia" w:ascii="宋体" w:hAnsi="宋体" w:eastAsia="宋体" w:cs="宋体"/>
          <w:b/>
          <w:sz w:val="24"/>
          <w:szCs w:val="24"/>
          <w:lang w:val="zh-CN"/>
        </w:rPr>
        <w:t>“合格的供应商”是指：</w:t>
      </w:r>
      <w:r>
        <w:rPr>
          <w:rFonts w:hint="eastAsia" w:ascii="宋体" w:hAnsi="宋体" w:eastAsia="宋体" w:cs="宋体"/>
          <w:kern w:val="0"/>
          <w:sz w:val="24"/>
          <w:szCs w:val="24"/>
          <w:lang w:val="zh-CN"/>
        </w:rPr>
        <w:t>资格审查和符合性审查合格的供应商。</w:t>
      </w:r>
    </w:p>
    <w:p>
      <w:pPr>
        <w:numPr>
          <w:ilvl w:val="0"/>
          <w:numId w:val="6"/>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“中标人”是指：</w:t>
      </w:r>
      <w:r>
        <w:rPr>
          <w:rFonts w:hint="eastAsia" w:ascii="宋体" w:hAnsi="宋体" w:eastAsia="宋体" w:cs="宋体"/>
          <w:sz w:val="24"/>
          <w:szCs w:val="24"/>
          <w:lang w:val="zh-CN"/>
        </w:rPr>
        <w:t>经评标委员会评审，授予合同的供应商。</w:t>
      </w:r>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项目属性及定义</w:t>
      </w:r>
    </w:p>
    <w:p>
      <w:pPr>
        <w:numPr>
          <w:ilvl w:val="0"/>
          <w:numId w:val="7"/>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“货物”是指</w:t>
      </w:r>
      <w:r>
        <w:rPr>
          <w:rFonts w:hint="eastAsia" w:ascii="宋体" w:hAnsi="宋体" w:eastAsia="宋体" w:cs="宋体"/>
          <w:sz w:val="24"/>
          <w:szCs w:val="24"/>
          <w:lang w:val="zh-CN"/>
        </w:rPr>
        <w:t>：各种形态和种类的物品，包括原材料、燃料、设备、产品等。</w:t>
      </w:r>
    </w:p>
    <w:p>
      <w:pPr>
        <w:numPr>
          <w:ilvl w:val="0"/>
          <w:numId w:val="8"/>
        </w:numPr>
        <w:spacing w:line="360" w:lineRule="auto"/>
        <w:ind w:left="854" w:hanging="728"/>
        <w:rPr>
          <w:rFonts w:ascii="宋体" w:hAnsi="宋体" w:eastAsia="宋体" w:cs="宋体"/>
          <w:sz w:val="24"/>
          <w:szCs w:val="24"/>
          <w:lang w:val="zh-CN"/>
        </w:rPr>
      </w:pPr>
      <w:r>
        <w:rPr>
          <w:rFonts w:hint="eastAsia" w:ascii="宋体" w:hAnsi="宋体" w:eastAsia="宋体" w:cs="宋体"/>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ascii="宋体" w:hAnsi="宋体" w:eastAsia="宋体" w:cs="宋体"/>
          <w:sz w:val="24"/>
          <w:szCs w:val="24"/>
          <w:lang w:val="zh-CN"/>
        </w:rPr>
      </w:pPr>
      <w:r>
        <w:rPr>
          <w:rFonts w:hint="eastAsia" w:ascii="宋体" w:hAnsi="宋体" w:eastAsia="宋体" w:cs="宋体"/>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ascii="宋体" w:hAnsi="宋体" w:eastAsia="宋体" w:cs="宋体"/>
          <w:b/>
          <w:sz w:val="24"/>
          <w:szCs w:val="24"/>
          <w:lang w:val="zh-CN"/>
        </w:rPr>
      </w:pPr>
      <w:r>
        <w:rPr>
          <w:rFonts w:hint="eastAsia" w:ascii="宋体" w:hAnsi="宋体" w:eastAsia="宋体" w:cs="宋体"/>
          <w:b/>
          <w:sz w:val="24"/>
          <w:szCs w:val="24"/>
          <w:lang w:val="zh-CN"/>
        </w:rPr>
        <w:t>“工程”是指</w:t>
      </w:r>
      <w:r>
        <w:rPr>
          <w:rFonts w:hint="eastAsia" w:ascii="宋体" w:hAnsi="宋体" w:eastAsia="宋体" w:cs="宋体"/>
          <w:sz w:val="24"/>
          <w:szCs w:val="24"/>
          <w:lang w:val="zh-CN"/>
        </w:rPr>
        <w:t>：与建筑物和构筑物的新建、改建、扩建及其相关的装修、拆除、修缮无关的工程。</w:t>
      </w:r>
    </w:p>
    <w:p>
      <w:pPr>
        <w:numPr>
          <w:ilvl w:val="0"/>
          <w:numId w:val="7"/>
        </w:numPr>
        <w:spacing w:line="360" w:lineRule="auto"/>
        <w:ind w:left="476" w:hanging="476"/>
        <w:rPr>
          <w:rFonts w:ascii="宋体" w:hAnsi="宋体" w:eastAsia="宋体" w:cs="宋体"/>
          <w:sz w:val="24"/>
          <w:szCs w:val="24"/>
          <w:lang w:val="zh-CN"/>
        </w:rPr>
      </w:pPr>
      <w:r>
        <w:rPr>
          <w:rFonts w:hint="eastAsia" w:ascii="宋体" w:hAnsi="宋体" w:eastAsia="宋体" w:cs="宋体"/>
          <w:b/>
          <w:sz w:val="24"/>
          <w:szCs w:val="24"/>
          <w:lang w:val="zh-CN"/>
        </w:rPr>
        <w:t>“服务”是指：</w:t>
      </w:r>
      <w:r>
        <w:rPr>
          <w:rFonts w:hint="eastAsia" w:ascii="宋体" w:hAnsi="宋体" w:eastAsia="宋体" w:cs="宋体"/>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ascii="宋体" w:hAnsi="宋体" w:eastAsia="宋体" w:cs="宋体"/>
          <w:sz w:val="24"/>
          <w:szCs w:val="24"/>
          <w:lang w:val="zh-CN"/>
        </w:rPr>
      </w:pPr>
      <w:r>
        <w:rPr>
          <w:rFonts w:hint="eastAsia" w:ascii="宋体" w:hAnsi="宋体" w:eastAsia="宋体" w:cs="宋体"/>
          <w:sz w:val="24"/>
          <w:szCs w:val="24"/>
          <w:lang w:val="zh-CN"/>
        </w:rPr>
        <w:t>采购人应当按照财政部制定的《政府采购品目分类目录》确定采购项目属性。按照《政府采购品目分类目录》无法确定的，按照有利于采购项目实施的原则确定。</w:t>
      </w:r>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投标费用</w:t>
      </w:r>
    </w:p>
    <w:p>
      <w:pPr>
        <w:numPr>
          <w:ilvl w:val="0"/>
          <w:numId w:val="9"/>
        </w:numPr>
        <w:spacing w:line="360" w:lineRule="auto"/>
        <w:ind w:left="476" w:hanging="476"/>
        <w:rPr>
          <w:rFonts w:ascii="宋体" w:hAnsi="宋体" w:eastAsia="宋体" w:cs="宋体"/>
          <w:sz w:val="24"/>
          <w:szCs w:val="24"/>
          <w:lang w:val="zh-CN"/>
        </w:rPr>
      </w:pPr>
      <w:r>
        <w:rPr>
          <w:rFonts w:hint="eastAsia" w:ascii="宋体" w:hAnsi="宋体" w:eastAsia="宋体" w:cs="宋体"/>
          <w:sz w:val="24"/>
          <w:szCs w:val="24"/>
          <w:lang w:val="zh-CN"/>
        </w:rPr>
        <w:t>供应商应承担所有与准备和参加投标有关的费用。不论投标的结果如何，采购代理机构和采购人均无义务和责任承担这些费用。</w:t>
      </w:r>
    </w:p>
    <w:p>
      <w:pPr>
        <w:numPr>
          <w:ilvl w:val="0"/>
          <w:numId w:val="9"/>
        </w:numPr>
        <w:spacing w:line="360" w:lineRule="auto"/>
        <w:ind w:left="476" w:hanging="476"/>
        <w:rPr>
          <w:rFonts w:ascii="宋体" w:hAnsi="宋体" w:eastAsia="宋体" w:cs="宋体"/>
          <w:sz w:val="24"/>
          <w:szCs w:val="24"/>
          <w:lang w:val="zh-CN"/>
        </w:rPr>
      </w:pPr>
      <w:r>
        <w:rPr>
          <w:rFonts w:hint="eastAsia" w:ascii="宋体" w:hAnsi="宋体" w:eastAsia="宋体" w:cs="宋体"/>
          <w:b/>
          <w:bCs/>
          <w:sz w:val="24"/>
          <w:szCs w:val="24"/>
          <w:lang w:val="zh-CN"/>
        </w:rPr>
        <w:t>根据《政府采购法》和有关规定，由中标人依据国家发展计划委员会计价格[2002]1980号文货物招标标准的</w:t>
      </w:r>
      <w:r>
        <w:rPr>
          <w:rFonts w:hint="eastAsia" w:ascii="宋体" w:hAnsi="宋体" w:eastAsia="宋体" w:cs="宋体"/>
          <w:b/>
          <w:bCs/>
          <w:sz w:val="24"/>
          <w:szCs w:val="24"/>
        </w:rPr>
        <w:t>80%</w:t>
      </w:r>
      <w:r>
        <w:rPr>
          <w:rFonts w:hint="eastAsia" w:ascii="宋体" w:hAnsi="宋体" w:eastAsia="宋体" w:cs="宋体"/>
          <w:b/>
          <w:bCs/>
          <w:sz w:val="24"/>
          <w:szCs w:val="24"/>
          <w:lang w:val="zh-CN"/>
        </w:rPr>
        <w:t>向代理机构支付中标服务费。</w:t>
      </w:r>
      <w:r>
        <w:rPr>
          <w:rFonts w:hint="eastAsia" w:ascii="宋体" w:hAnsi="宋体" w:eastAsia="宋体" w:cs="宋体"/>
          <w:sz w:val="24"/>
          <w:szCs w:val="24"/>
          <w:lang w:val="zh-CN"/>
        </w:rPr>
        <w:t xml:space="preserve"> </w:t>
      </w:r>
    </w:p>
    <w:p>
      <w:pPr>
        <w:pStyle w:val="3"/>
        <w:numPr>
          <w:ilvl w:val="0"/>
          <w:numId w:val="4"/>
        </w:numPr>
        <w:spacing w:before="40" w:after="40" w:line="360" w:lineRule="auto"/>
        <w:ind w:left="658" w:hanging="658"/>
        <w:jc w:val="left"/>
        <w:rPr>
          <w:rFonts w:ascii="宋体" w:hAnsi="宋体" w:eastAsia="宋体" w:cs="宋体"/>
          <w:bCs w:val="0"/>
          <w:lang w:val="zh-CN"/>
        </w:rPr>
      </w:pPr>
      <w:bookmarkStart w:id="6" w:name="_Toc272247695"/>
      <w:bookmarkStart w:id="7" w:name="_Toc495848889"/>
      <w:bookmarkStart w:id="8" w:name="_Toc278891592"/>
      <w:bookmarkStart w:id="9" w:name="_Toc494561939"/>
      <w:r>
        <w:rPr>
          <w:rFonts w:hint="eastAsia" w:ascii="宋体" w:hAnsi="宋体" w:eastAsia="宋体" w:cs="宋体"/>
          <w:bCs w:val="0"/>
          <w:lang w:val="zh-CN"/>
        </w:rPr>
        <w:t>招标文件</w:t>
      </w:r>
      <w:bookmarkEnd w:id="6"/>
      <w:bookmarkEnd w:id="7"/>
      <w:bookmarkEnd w:id="8"/>
      <w:bookmarkEnd w:id="9"/>
    </w:p>
    <w:p>
      <w:pPr>
        <w:numPr>
          <w:ilvl w:val="0"/>
          <w:numId w:val="5"/>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招标文件的构成</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第一章 投标邀请书</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第二章 供应商须知</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第三章 项目技术、服务及商务要求</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第四章 资格审查方法及标准</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第五章 评标方法、程序及标准</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第六章 合同书格式（参考）</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第七章 投标文件格式（参考）</w:t>
      </w:r>
    </w:p>
    <w:p>
      <w:pPr>
        <w:tabs>
          <w:tab w:val="left" w:pos="476"/>
        </w:tabs>
        <w:spacing w:line="360" w:lineRule="auto"/>
        <w:ind w:left="476"/>
        <w:rPr>
          <w:rFonts w:ascii="宋体" w:hAnsi="宋体" w:eastAsia="宋体" w:cs="宋体"/>
          <w:sz w:val="24"/>
          <w:szCs w:val="20"/>
          <w:lang w:val="zh-CN"/>
        </w:rPr>
      </w:pPr>
      <w:r>
        <w:rPr>
          <w:rFonts w:hint="eastAsia" w:ascii="宋体" w:hAnsi="宋体" w:eastAsia="宋体" w:cs="宋体"/>
          <w:sz w:val="24"/>
          <w:szCs w:val="20"/>
          <w:lang w:val="zh-CN"/>
        </w:rPr>
        <w:t>其 他  在招标过程中由采购代理机构发出的修正和补充文件等</w:t>
      </w:r>
    </w:p>
    <w:p>
      <w:pPr>
        <w:numPr>
          <w:ilvl w:val="0"/>
          <w:numId w:val="5"/>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招标文件疑问的提交</w:t>
      </w:r>
    </w:p>
    <w:p>
      <w:pPr>
        <w:numPr>
          <w:ilvl w:val="0"/>
          <w:numId w:val="10"/>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潜在供应商对招标文件有疑问的，可以向采购代理机构提出询问，或在6.2规定的时间前以书面的形式向采购代理机构提交疑问函。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潜在供应商在项目招标公告期限届满之日起7个工作日内未对招标文件提出疑问的，采购代理机构将视其认同招标文件，在规定的时间后就招标文件内容提出的疑问将不予受理。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代理机构将组织采购人对潜在供应商所提交疑问以书面（或网上公告）的形式予以答复。必要时，采购代理机构将组织相关专家召开答疑会，并将会议内容以书面的形式发给每个领取招标文件的潜在供应商（答复中不包括问题的来源）。</w:t>
      </w:r>
    </w:p>
    <w:p>
      <w:pPr>
        <w:numPr>
          <w:ilvl w:val="0"/>
          <w:numId w:val="5"/>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招标文件的澄清、修改</w:t>
      </w:r>
    </w:p>
    <w:p>
      <w:pPr>
        <w:numPr>
          <w:ilvl w:val="0"/>
          <w:numId w:val="11"/>
        </w:numPr>
        <w:spacing w:line="360" w:lineRule="auto"/>
        <w:ind w:left="476" w:hanging="476"/>
        <w:rPr>
          <w:rFonts w:ascii="宋体" w:hAnsi="宋体" w:eastAsia="宋体" w:cs="宋体"/>
          <w:kern w:val="0"/>
          <w:sz w:val="24"/>
          <w:szCs w:val="24"/>
          <w:lang w:val="zh-CN"/>
        </w:rPr>
      </w:pPr>
      <w:r>
        <w:rPr>
          <w:rFonts w:hint="eastAsia" w:ascii="宋体" w:hAnsi="宋体" w:eastAsia="宋体" w:cs="宋体"/>
          <w:sz w:val="24"/>
          <w:szCs w:val="20"/>
          <w:lang w:val="zh-CN"/>
        </w:rPr>
        <w:t>采购代理机构和采购人可以对已发出的招标文件进行必要的澄清或者修改，</w:t>
      </w:r>
      <w:r>
        <w:rPr>
          <w:rFonts w:hint="eastAsia" w:ascii="宋体" w:hAnsi="宋体" w:eastAsia="宋体" w:cs="宋体"/>
          <w:kern w:val="0"/>
          <w:sz w:val="24"/>
          <w:szCs w:val="24"/>
          <w:lang w:val="zh-CN"/>
        </w:rPr>
        <w:t>但不得改变采购标的和资格条件</w:t>
      </w:r>
      <w:r>
        <w:rPr>
          <w:rFonts w:hint="eastAsia" w:ascii="宋体" w:hAnsi="宋体" w:eastAsia="宋体" w:cs="宋体"/>
          <w:sz w:val="24"/>
          <w:szCs w:val="20"/>
          <w:lang w:val="zh-CN"/>
        </w:rPr>
        <w:t>。</w:t>
      </w:r>
      <w:r>
        <w:rPr>
          <w:rFonts w:hint="eastAsia" w:ascii="宋体" w:hAnsi="宋体" w:eastAsia="宋体" w:cs="宋体"/>
          <w:kern w:val="0"/>
          <w:sz w:val="24"/>
          <w:szCs w:val="24"/>
          <w:lang w:val="zh-CN"/>
        </w:rPr>
        <w:t>澄清或者修改将在原公告发布媒体上发布澄清公告。澄清或者修改的内容可能影响投标文件编制的，采购代理机构和采购人将在投标截止时间至少</w:t>
      </w:r>
      <w:r>
        <w:rPr>
          <w:rFonts w:hint="eastAsia" w:ascii="宋体" w:hAnsi="宋体" w:eastAsia="宋体" w:cs="宋体"/>
          <w:sz w:val="24"/>
          <w:szCs w:val="20"/>
          <w:lang w:val="zh-CN"/>
        </w:rPr>
        <w:t>15</w:t>
      </w:r>
      <w:r>
        <w:rPr>
          <w:rFonts w:hint="eastAsia" w:ascii="宋体" w:hAnsi="宋体" w:eastAsia="宋体" w:cs="宋体"/>
          <w:kern w:val="0"/>
          <w:sz w:val="24"/>
          <w:szCs w:val="24"/>
          <w:lang w:val="zh-CN"/>
        </w:rPr>
        <w:t>日前，以书面形式通知所有获取招标文件的潜在供应商。</w:t>
      </w:r>
    </w:p>
    <w:p>
      <w:pPr>
        <w:numPr>
          <w:ilvl w:val="0"/>
          <w:numId w:val="11"/>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为使潜在供应商有充足时间对招标文件的澄清或者修改的内容进行研究和响应，采购代理机构和采购人可适当顺延提交投标文件的截止时间，并以书面（或网上公告）的形式通知所有领取招标文件的潜在供应商。</w:t>
      </w:r>
    </w:p>
    <w:p>
      <w:pPr>
        <w:numPr>
          <w:ilvl w:val="0"/>
          <w:numId w:val="11"/>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澄清或者修改的内容为招标文件的组成部分，并对潜在供应商具有约束力。潜在供应商在收到上述通知后，应立即以书面（或邮件）形式向采购代理机构确认收悉。</w:t>
      </w:r>
    </w:p>
    <w:p>
      <w:pPr>
        <w:numPr>
          <w:ilvl w:val="0"/>
          <w:numId w:val="5"/>
        </w:numPr>
        <w:spacing w:line="360" w:lineRule="auto"/>
        <w:rPr>
          <w:rFonts w:ascii="宋体" w:hAnsi="宋体" w:eastAsia="宋体" w:cs="宋体"/>
          <w:b/>
          <w:sz w:val="24"/>
          <w:szCs w:val="20"/>
          <w:lang w:val="zh-CN"/>
        </w:rPr>
      </w:pPr>
      <w:r>
        <w:rPr>
          <w:rFonts w:hint="eastAsia" w:ascii="宋体" w:hAnsi="宋体" w:eastAsia="宋体" w:cs="宋体"/>
          <w:b/>
          <w:sz w:val="24"/>
          <w:szCs w:val="20"/>
          <w:lang w:val="zh-CN"/>
        </w:rPr>
        <w:t>现场考察</w:t>
      </w:r>
    </w:p>
    <w:p>
      <w:pPr>
        <w:numPr>
          <w:ilvl w:val="0"/>
          <w:numId w:val="12"/>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人可以在招标文件提供期限截止后，组织已获取招标文件的潜在供应商现场考察。采购人组织现场考察的，潜在供应商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采购人向潜在供应商提供有关现场的数据和资料。是采购人现有的能被潜在供应商利用的客观资料，采购人对潜在供应商依此作出的任何推论、理解和结论均不负责任。</w:t>
      </w:r>
    </w:p>
    <w:p>
      <w:pPr>
        <w:numPr>
          <w:ilvl w:val="0"/>
          <w:numId w:val="12"/>
        </w:numPr>
        <w:spacing w:line="360" w:lineRule="auto"/>
        <w:ind w:left="476" w:hanging="476"/>
        <w:rPr>
          <w:rFonts w:ascii="宋体" w:hAnsi="宋体" w:eastAsia="宋体" w:cs="宋体"/>
          <w:sz w:val="24"/>
          <w:szCs w:val="20"/>
          <w:lang w:val="zh-CN"/>
        </w:rPr>
      </w:pPr>
      <w:r>
        <w:rPr>
          <w:rFonts w:hint="eastAsia" w:ascii="宋体" w:hAnsi="宋体" w:eastAsia="宋体" w:cs="宋体"/>
          <w:sz w:val="24"/>
          <w:szCs w:val="20"/>
          <w:lang w:val="zh-CN"/>
        </w:rPr>
        <w:t>经采购人允许，潜在供应商可进入项目现场进行考察，但潜在供应商不得因此使采购人承担有关责任和蒙受损失。潜在供应商应自行承担现场考察的全部费用、责任和风险。</w:t>
      </w:r>
    </w:p>
    <w:p>
      <w:pPr>
        <w:pStyle w:val="3"/>
        <w:numPr>
          <w:ilvl w:val="0"/>
          <w:numId w:val="4"/>
        </w:numPr>
        <w:spacing w:before="40" w:after="40" w:line="360" w:lineRule="auto"/>
        <w:ind w:left="658" w:hanging="658"/>
        <w:jc w:val="left"/>
        <w:rPr>
          <w:rFonts w:ascii="宋体" w:hAnsi="宋体" w:eastAsia="宋体" w:cs="宋体"/>
          <w:bCs w:val="0"/>
          <w:lang w:val="zh-CN"/>
        </w:rPr>
      </w:pPr>
      <w:bookmarkStart w:id="10" w:name="_Toc278891593"/>
      <w:bookmarkStart w:id="11" w:name="_Toc495848890"/>
      <w:bookmarkStart w:id="12" w:name="_Toc272247696"/>
      <w:bookmarkStart w:id="13" w:name="_Toc494561940"/>
      <w:r>
        <w:rPr>
          <w:rFonts w:hint="eastAsia" w:ascii="宋体" w:hAnsi="宋体" w:eastAsia="宋体" w:cs="宋体"/>
          <w:bCs w:val="0"/>
          <w:lang w:val="zh-CN"/>
        </w:rPr>
        <w:t>投标文件</w:t>
      </w:r>
      <w:bookmarkEnd w:id="10"/>
      <w:bookmarkEnd w:id="11"/>
      <w:bookmarkEnd w:id="12"/>
      <w:bookmarkEnd w:id="13"/>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投标的语言</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供应商提交的投标文件以及供应商与采购代理机构或采购人就有关投标的所有来往函电均应使用中文。供应商提交的相关证明文件、资料或文献可以用另一种语言，但相应内容应附有中文翻译本，在解释投标文件的相关内容时以中文翻译本为准。</w:t>
      </w:r>
    </w:p>
    <w:p>
      <w:pPr>
        <w:numPr>
          <w:ilvl w:val="0"/>
          <w:numId w:val="5"/>
        </w:numPr>
        <w:spacing w:line="360" w:lineRule="auto"/>
        <w:rPr>
          <w:rFonts w:ascii="宋体" w:hAnsi="宋体" w:eastAsia="宋体" w:cs="宋体"/>
          <w:b/>
          <w:sz w:val="24"/>
          <w:szCs w:val="24"/>
          <w:lang w:val="zh-CN"/>
        </w:rPr>
      </w:pPr>
      <w:r>
        <w:rPr>
          <w:rFonts w:hint="eastAsia" w:ascii="宋体" w:hAnsi="宋体" w:eastAsia="宋体" w:cs="宋体"/>
          <w:b/>
          <w:sz w:val="24"/>
          <w:szCs w:val="24"/>
          <w:lang w:val="zh-CN"/>
        </w:rPr>
        <w:t>投标文件的构成</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供应商编制的投标文件应包括但不限于： 资格证明文件、商务文件、技术及服务文件。</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投标文件编制</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如招标文件有分包要求，供应商对招标文件中多个包进行投标的，其投标文件的编制应按每包要求分别装订和封装，并注明对应包号。</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供应商应当对投标文件进行装订，对未经装订的投标书可能发生的文件散落或缺损，由此产生的后果及责任由供应商自行承担。</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供应商应对投标文件中所提供资料的真实性负责，如有虚假，将依法承担相应责任。供应商应自觉接受采购代理机构对其中任何资料进一步核实的要求。</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因供应商投标文件填报的内容不详，或没有提供招标文件中所要求的全部资料及数据等，由此产生的后果及责任由供应商自行承担。</w:t>
      </w:r>
    </w:p>
    <w:p>
      <w:pPr>
        <w:numPr>
          <w:ilvl w:val="0"/>
          <w:numId w:val="13"/>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投标文件用纸应统一为A4规格（图纸除外）。</w:t>
      </w:r>
    </w:p>
    <w:p>
      <w:pPr>
        <w:numPr>
          <w:ilvl w:val="0"/>
          <w:numId w:val="13"/>
        </w:numPr>
        <w:spacing w:line="360" w:lineRule="auto"/>
        <w:ind w:left="616" w:hanging="616"/>
        <w:rPr>
          <w:rFonts w:ascii="宋体" w:hAnsi="宋体" w:eastAsia="宋体" w:cs="宋体"/>
          <w:b/>
          <w:sz w:val="24"/>
          <w:szCs w:val="24"/>
          <w:lang w:val="zh-CN"/>
        </w:rPr>
      </w:pPr>
      <w:r>
        <w:rPr>
          <w:rFonts w:hint="eastAsia" w:ascii="宋体" w:hAnsi="宋体" w:eastAsia="宋体" w:cs="宋体"/>
          <w:b/>
          <w:sz w:val="24"/>
          <w:szCs w:val="24"/>
          <w:lang w:val="zh-CN"/>
        </w:rPr>
        <w:t>供应商应将投标文件胶装成册，并逐页连续标注页码，建立目录索引</w:t>
      </w:r>
      <w:r>
        <w:rPr>
          <w:rFonts w:hint="eastAsia" w:ascii="宋体" w:hAnsi="宋体" w:eastAsia="宋体" w:cs="宋体"/>
          <w:b/>
          <w:sz w:val="24"/>
          <w:szCs w:val="20"/>
          <w:lang w:val="zh-CN"/>
        </w:rPr>
        <w:t>。</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投标报价</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供应商所提供的货物（工程或服务）均以人民币计价。</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《投标报价明细表》填写时应响应下列要求：</w:t>
      </w:r>
    </w:p>
    <w:p>
      <w:pPr>
        <w:numPr>
          <w:ilvl w:val="0"/>
          <w:numId w:val="15"/>
        </w:numPr>
        <w:spacing w:line="360" w:lineRule="auto"/>
        <w:ind w:left="980" w:hanging="854"/>
        <w:rPr>
          <w:rFonts w:ascii="宋体" w:hAnsi="宋体" w:eastAsia="宋体" w:cs="宋体"/>
          <w:sz w:val="24"/>
          <w:szCs w:val="24"/>
          <w:lang w:val="zh-CN"/>
        </w:rPr>
      </w:pPr>
      <w:r>
        <w:rPr>
          <w:rFonts w:hint="eastAsia" w:ascii="宋体" w:hAnsi="宋体" w:eastAsia="宋体" w:cs="宋体"/>
          <w:sz w:val="24"/>
        </w:rPr>
        <w:t>应包括所有根据合同或其他原因由供应商支付的款项、费用</w:t>
      </w:r>
      <w:r>
        <w:rPr>
          <w:rFonts w:hint="eastAsia" w:ascii="宋体" w:hAnsi="宋体" w:eastAsia="宋体" w:cs="宋体"/>
          <w:sz w:val="24"/>
          <w:szCs w:val="24"/>
          <w:lang w:val="zh-CN"/>
        </w:rPr>
        <w:t>；</w:t>
      </w:r>
    </w:p>
    <w:p>
      <w:pPr>
        <w:numPr>
          <w:ilvl w:val="0"/>
          <w:numId w:val="15"/>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应包含货物运至最终目的地的运输、保险和伴随货物（工程或服务）的有关费用；</w:t>
      </w:r>
    </w:p>
    <w:p>
      <w:pPr>
        <w:numPr>
          <w:ilvl w:val="0"/>
          <w:numId w:val="15"/>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应详细提供《投标报价明细表》和《投标货物、服务清单》等内容，否则按照</w:t>
      </w:r>
      <w:r>
        <w:rPr>
          <w:rFonts w:hint="eastAsia" w:ascii="宋体" w:hAnsi="宋体" w:eastAsia="宋体" w:cs="宋体"/>
          <w:b/>
          <w:sz w:val="24"/>
          <w:szCs w:val="24"/>
          <w:lang w:val="zh-CN"/>
        </w:rPr>
        <w:t>无效投标处理。</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每一种规格的货物（工程或服务）只允许有一个报价，否则按照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的投标总报价在合同执行过程中是固定不变的，不得以任何理由予以变更。故供应商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对于招标文件未列明，而供应商认为必需的费用也需列入其投标总价。在合同实施时，采购人将不予支付供应商没有列入的项目费用，并认为此项目的费用已包括在其投标总价中。</w:t>
      </w:r>
    </w:p>
    <w:p>
      <w:pPr>
        <w:numPr>
          <w:ilvl w:val="0"/>
          <w:numId w:val="14"/>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供应商应对项目招标范围内的全部内容进行报价，不得缺、漏项或只投其中的部分内容的，否则按照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备选方案</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只允许供应商提供一个投标方案（招标文件中要求提供备选方案的除外），否则按照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中标后分包</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招标文件规定项目非主体、非关键性工作中标后可以分包的，供应商拟在中标后将项目的非主体、非关键性工作分包，应当在投标文件中载明具备相应资质条件的分包承担主体，分包承担主体不得再次分包。</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联合体投标</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两个及以上供应商可以组成一个联合体，以一个供应商的身份共同参与投标。</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采取联合体形式投标的，联合体各方均应当符合政府采购法第二十二条第一款规定的条件。联合体的主体应完全满足项目供应商资格要求。</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以联合体形式参加政府采购活动的，联合体各方不得再单独参加或者与其他供应商另外组成联合体参加同一合同项下的政府采购活动。</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采取联合体形式投标的，项目评审时只对联合体主体进行评议。</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联合体中标的，联合体各方应当共同与采购人签订采购合同，</w:t>
      </w:r>
      <w:r>
        <w:rPr>
          <w:rFonts w:hint="eastAsia" w:ascii="宋体" w:hAnsi="宋体" w:eastAsia="宋体" w:cs="宋体"/>
          <w:sz w:val="24"/>
        </w:rPr>
        <w:t>就采购合同约定的事项对采购人承担连带责任，</w:t>
      </w:r>
      <w:r>
        <w:rPr>
          <w:rFonts w:hint="eastAsia" w:ascii="宋体" w:hAnsi="宋体" w:eastAsia="宋体" w:cs="宋体"/>
          <w:sz w:val="24"/>
          <w:szCs w:val="24"/>
          <w:lang w:val="zh-CN"/>
        </w:rPr>
        <w:t>联合体主体单位负主要责任。</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联合体中有同类资质的供应商按照联合体分工承担相同工作的，应当按照资质等级较低的供应商确定资质等级。</w:t>
      </w:r>
    </w:p>
    <w:p>
      <w:pPr>
        <w:numPr>
          <w:ilvl w:val="0"/>
          <w:numId w:val="16"/>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招标文件第一章“供应商资格要求”中未载明是否接受联合体投标的，视同接受。</w:t>
      </w:r>
    </w:p>
    <w:p>
      <w:pPr>
        <w:numPr>
          <w:ilvl w:val="0"/>
          <w:numId w:val="16"/>
        </w:numPr>
        <w:spacing w:line="360" w:lineRule="auto"/>
        <w:ind w:left="728" w:hanging="728"/>
        <w:rPr>
          <w:rFonts w:ascii="宋体" w:hAnsi="宋体" w:eastAsia="宋体" w:cs="宋体"/>
          <w:sz w:val="24"/>
          <w:szCs w:val="24"/>
          <w:lang w:val="zh-CN"/>
        </w:rPr>
      </w:pPr>
      <w:r>
        <w:rPr>
          <w:rFonts w:hint="eastAsia" w:ascii="宋体" w:hAnsi="宋体" w:eastAsia="宋体" w:cs="宋体"/>
          <w:sz w:val="24"/>
          <w:szCs w:val="24"/>
          <w:lang w:val="zh-CN"/>
        </w:rPr>
        <w:t>以联合体形式参与投标的，其价格扣除相关规定详见第五章“评标方法、程序及标准”。</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资格证明文件</w:t>
      </w:r>
    </w:p>
    <w:p>
      <w:pPr>
        <w:numPr>
          <w:ilvl w:val="0"/>
          <w:numId w:val="17"/>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pPr>
        <w:numPr>
          <w:ilvl w:val="0"/>
          <w:numId w:val="17"/>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资格证明文件应真实、合法，并就此承担相应法律责任。</w:t>
      </w:r>
    </w:p>
    <w:p>
      <w:pPr>
        <w:numPr>
          <w:ilvl w:val="0"/>
          <w:numId w:val="17"/>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资格证明文件正本应为清晰彩色影印件且加盖单位公章，否则按照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。副本可为正本的复印件,但应在副本封面加盖单位公章。</w:t>
      </w:r>
    </w:p>
    <w:p>
      <w:pPr>
        <w:numPr>
          <w:ilvl w:val="0"/>
          <w:numId w:val="17"/>
        </w:numPr>
        <w:spacing w:line="360" w:lineRule="auto"/>
        <w:ind w:left="616" w:hanging="616"/>
        <w:rPr>
          <w:rFonts w:ascii="宋体" w:hAnsi="宋体" w:eastAsia="宋体" w:cs="宋体"/>
          <w:sz w:val="24"/>
          <w:szCs w:val="24"/>
          <w:lang w:val="zh-CN"/>
        </w:rPr>
      </w:pPr>
      <w:r>
        <w:rPr>
          <w:rFonts w:hint="eastAsia" w:ascii="宋体" w:hAnsi="宋体" w:eastAsia="宋体" w:cs="宋体"/>
          <w:kern w:val="0"/>
          <w:sz w:val="24"/>
          <w:szCs w:val="24"/>
          <w:lang w:val="zh-CN"/>
        </w:rPr>
        <w:t>资格证明文件内容详见</w:t>
      </w:r>
      <w:r>
        <w:rPr>
          <w:rFonts w:hint="eastAsia" w:ascii="宋体" w:hAnsi="宋体" w:eastAsia="宋体" w:cs="宋体"/>
          <w:sz w:val="24"/>
          <w:szCs w:val="24"/>
          <w:lang w:val="zh-CN"/>
        </w:rPr>
        <w:t>第四章“资格审查方法及标准”中资格审查内容</w:t>
      </w:r>
      <w:r>
        <w:rPr>
          <w:rFonts w:hint="eastAsia" w:ascii="宋体" w:hAnsi="宋体" w:eastAsia="宋体" w:cs="宋体"/>
          <w:kern w:val="0"/>
          <w:sz w:val="24"/>
          <w:szCs w:val="24"/>
          <w:lang w:val="zh-CN"/>
        </w:rPr>
        <w:t>。</w:t>
      </w:r>
    </w:p>
    <w:p>
      <w:pPr>
        <w:numPr>
          <w:ilvl w:val="0"/>
          <w:numId w:val="5"/>
        </w:numPr>
        <w:spacing w:line="360" w:lineRule="auto"/>
        <w:ind w:left="560" w:hanging="560"/>
        <w:rPr>
          <w:rFonts w:ascii="宋体" w:hAnsi="宋体" w:eastAsia="宋体" w:cs="宋体"/>
          <w:sz w:val="24"/>
          <w:szCs w:val="24"/>
          <w:lang w:val="zh-CN"/>
        </w:rPr>
      </w:pPr>
      <w:r>
        <w:rPr>
          <w:rFonts w:hint="eastAsia" w:ascii="宋体" w:hAnsi="宋体" w:eastAsia="宋体" w:cs="宋体"/>
          <w:b/>
          <w:sz w:val="24"/>
          <w:szCs w:val="24"/>
          <w:lang w:val="zh-CN"/>
        </w:rPr>
        <w:t>投标保证金</w:t>
      </w:r>
      <w:r>
        <w:rPr>
          <w:rFonts w:hint="eastAsia" w:ascii="宋体" w:hAnsi="宋体" w:eastAsia="宋体" w:cs="宋体"/>
          <w:sz w:val="24"/>
          <w:szCs w:val="24"/>
          <w:lang w:val="zh-CN"/>
        </w:rPr>
        <w:t>（交纳金额及账户信息详见本章“投标须知前附表”中规定）。</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供应商应在投标文件中提供交纳保证金的凭证。</w:t>
      </w:r>
      <w:r>
        <w:rPr>
          <w:rFonts w:hint="eastAsia" w:ascii="宋体" w:hAnsi="宋体" w:eastAsia="宋体" w:cs="宋体"/>
          <w:b/>
          <w:sz w:val="24"/>
          <w:szCs w:val="24"/>
          <w:lang w:val="zh-CN"/>
        </w:rPr>
        <w:t>同时参加多个分包的供应商，保证金应按照各包保证金要求分别交纳。</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供应商应在投标文件递交截至时间前，按规定将投标保证金汇入采购代理机构专用账户。投标保证金应在投标有效期截止日后的</w:t>
      </w:r>
      <w:r>
        <w:rPr>
          <w:rFonts w:hint="eastAsia" w:ascii="宋体" w:hAnsi="宋体" w:eastAsia="宋体" w:cs="宋体"/>
          <w:b/>
          <w:sz w:val="24"/>
          <w:szCs w:val="24"/>
          <w:lang w:val="zh-CN"/>
        </w:rPr>
        <w:t>30</w:t>
      </w:r>
      <w:r>
        <w:rPr>
          <w:rFonts w:hint="eastAsia" w:ascii="宋体" w:hAnsi="宋体" w:eastAsia="宋体" w:cs="宋体"/>
          <w:sz w:val="24"/>
          <w:szCs w:val="24"/>
          <w:lang w:val="zh-CN"/>
        </w:rPr>
        <w:t>天期限内有效。</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投标保证金应按以下方式递交：</w:t>
      </w:r>
    </w:p>
    <w:p>
      <w:pPr>
        <w:numPr>
          <w:ilvl w:val="0"/>
          <w:numId w:val="19"/>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应以电汇或网上银行方式汇入保证金账户，不得以个人名义、不得以现金方式交纳。</w:t>
      </w:r>
    </w:p>
    <w:p>
      <w:pPr>
        <w:numPr>
          <w:ilvl w:val="0"/>
          <w:numId w:val="19"/>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到账时间以采购代理机构账户时间为准。</w:t>
      </w:r>
    </w:p>
    <w:p>
      <w:pPr>
        <w:numPr>
          <w:ilvl w:val="0"/>
          <w:numId w:val="19"/>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交款凭证备注中应说明项目编号及开标时间。</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未按招标文件要求递交投标保证金，或交纳保证金的账户名称与供应商名称不一致的按照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采购代理机构将在自中标通知书发出之日起</w:t>
      </w:r>
      <w:r>
        <w:rPr>
          <w:rFonts w:hint="eastAsia" w:ascii="宋体" w:hAnsi="宋体" w:eastAsia="宋体" w:cs="宋体"/>
          <w:b/>
          <w:sz w:val="24"/>
          <w:szCs w:val="24"/>
          <w:lang w:val="zh-CN"/>
        </w:rPr>
        <w:t>5</w:t>
      </w:r>
      <w:r>
        <w:rPr>
          <w:rFonts w:hint="eastAsia" w:ascii="宋体" w:hAnsi="宋体" w:eastAsia="宋体" w:cs="宋体"/>
          <w:sz w:val="24"/>
          <w:szCs w:val="24"/>
          <w:lang w:val="zh-CN"/>
        </w:rPr>
        <w:t>个工作日内（如无质疑或投诉）退还未中标人的投标保证金；自政府采购合同签订之日起</w:t>
      </w:r>
      <w:r>
        <w:rPr>
          <w:rFonts w:hint="eastAsia" w:ascii="宋体" w:hAnsi="宋体" w:eastAsia="宋体" w:cs="宋体"/>
          <w:b/>
          <w:sz w:val="24"/>
          <w:szCs w:val="24"/>
          <w:lang w:val="zh-CN"/>
        </w:rPr>
        <w:t>5</w:t>
      </w:r>
      <w:r>
        <w:rPr>
          <w:rFonts w:hint="eastAsia" w:ascii="宋体" w:hAnsi="宋体" w:eastAsia="宋体" w:cs="宋体"/>
          <w:sz w:val="24"/>
          <w:szCs w:val="24"/>
          <w:lang w:val="zh-CN"/>
        </w:rPr>
        <w:t>个工作日内不计利息原额退还中标人的投标保证金。</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kern w:val="0"/>
          <w:sz w:val="24"/>
          <w:szCs w:val="24"/>
          <w:lang w:val="zh-CN"/>
        </w:rPr>
        <w:t>供应商在投标截止时间前撤回已提交的投标文件的，采购代理机构将在自收到供应商书面撤回通知之日起5个工作日内，退还已收取的投标保证金，但因供应商自身原因导致无法及时退还的除外。</w:t>
      </w:r>
    </w:p>
    <w:p>
      <w:pPr>
        <w:numPr>
          <w:ilvl w:val="0"/>
          <w:numId w:val="18"/>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投标保证金将直接退还至供应商交纳时的账户，不以现金方式退还。</w:t>
      </w:r>
    </w:p>
    <w:p>
      <w:pPr>
        <w:numPr>
          <w:ilvl w:val="0"/>
          <w:numId w:val="18"/>
        </w:numPr>
        <w:spacing w:line="360" w:lineRule="auto"/>
        <w:ind w:left="616" w:hanging="616"/>
        <w:rPr>
          <w:rFonts w:ascii="宋体" w:hAnsi="宋体" w:eastAsia="宋体" w:cs="宋体"/>
          <w:b/>
          <w:sz w:val="24"/>
          <w:szCs w:val="24"/>
          <w:lang w:val="zh-CN"/>
        </w:rPr>
      </w:pPr>
      <w:r>
        <w:rPr>
          <w:rFonts w:hint="eastAsia" w:ascii="宋体" w:hAnsi="宋体" w:eastAsia="宋体" w:cs="宋体"/>
          <w:b/>
          <w:sz w:val="24"/>
          <w:szCs w:val="24"/>
          <w:lang w:val="zh-CN"/>
        </w:rPr>
        <w:t>供应商有下列情形之一的，其投标保证金不予退还：</w:t>
      </w:r>
    </w:p>
    <w:p>
      <w:pPr>
        <w:numPr>
          <w:ilvl w:val="0"/>
          <w:numId w:val="20"/>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在投标文件有效期内撤销投标文件的；</w:t>
      </w:r>
    </w:p>
    <w:p>
      <w:pPr>
        <w:numPr>
          <w:ilvl w:val="0"/>
          <w:numId w:val="20"/>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在投标文件中提供虚假材料的；</w:t>
      </w:r>
    </w:p>
    <w:p>
      <w:pPr>
        <w:numPr>
          <w:ilvl w:val="0"/>
          <w:numId w:val="20"/>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中标后无正当理由拒绝签订政府采购合同的；</w:t>
      </w:r>
    </w:p>
    <w:p>
      <w:pPr>
        <w:numPr>
          <w:ilvl w:val="0"/>
          <w:numId w:val="20"/>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串通投标、恶意串通的；</w:t>
      </w:r>
    </w:p>
    <w:p>
      <w:pPr>
        <w:numPr>
          <w:ilvl w:val="0"/>
          <w:numId w:val="20"/>
        </w:numPr>
        <w:spacing w:line="360" w:lineRule="auto"/>
        <w:ind w:left="980" w:hanging="854"/>
        <w:rPr>
          <w:rFonts w:ascii="宋体" w:hAnsi="宋体" w:eastAsia="宋体" w:cs="宋体"/>
          <w:sz w:val="24"/>
          <w:szCs w:val="24"/>
          <w:lang w:val="zh-CN"/>
        </w:rPr>
      </w:pPr>
      <w:r>
        <w:rPr>
          <w:rFonts w:hint="eastAsia" w:ascii="宋体" w:hAnsi="宋体" w:eastAsia="宋体" w:cs="宋体"/>
          <w:sz w:val="24"/>
          <w:szCs w:val="24"/>
          <w:lang w:val="zh-CN"/>
        </w:rPr>
        <w:t>法律、法规和招标文件中规定的其它不予退还投标保证金的情形。</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投标有效期</w:t>
      </w:r>
    </w:p>
    <w:p>
      <w:pPr>
        <w:numPr>
          <w:ilvl w:val="0"/>
          <w:numId w:val="2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投标有效期详见本章“投标须知前附表”中规定。</w:t>
      </w:r>
      <w:r>
        <w:rPr>
          <w:rFonts w:hint="eastAsia" w:ascii="宋体" w:hAnsi="宋体" w:eastAsia="宋体" w:cs="宋体"/>
          <w:kern w:val="0"/>
          <w:sz w:val="24"/>
          <w:szCs w:val="24"/>
          <w:lang w:val="zh-CN"/>
        </w:rPr>
        <w:t>投标文件中承诺的投标有效期应当不少于招标文件中载明的投标有效期。投标有效期不足的，</w:t>
      </w:r>
      <w:r>
        <w:rPr>
          <w:rFonts w:hint="eastAsia" w:ascii="宋体" w:hAnsi="宋体" w:eastAsia="宋体" w:cs="宋体"/>
          <w:sz w:val="24"/>
          <w:szCs w:val="24"/>
          <w:lang w:val="zh-CN"/>
        </w:rPr>
        <w:t>按照</w:t>
      </w:r>
      <w:r>
        <w:rPr>
          <w:rFonts w:hint="eastAsia" w:ascii="宋体" w:hAnsi="宋体" w:eastAsia="宋体" w:cs="宋体"/>
          <w:b/>
          <w:sz w:val="24"/>
          <w:szCs w:val="24"/>
          <w:lang w:val="zh-CN"/>
        </w:rPr>
        <w:t>无效投标处理。</w:t>
      </w:r>
    </w:p>
    <w:p>
      <w:pPr>
        <w:numPr>
          <w:ilvl w:val="0"/>
          <w:numId w:val="21"/>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特殊情况下，在原投标有效期截止之前，采购代理机构或采购人可要求供应商延长投标有效期。这种要求与答复均应以书面形式提交。供应商可拒绝采购代理机构或采购人的这种要求，但其投标在原投标有效期期满后将不再有效。同意延长投标有效期的供应商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ascii="宋体" w:hAnsi="宋体" w:eastAsia="宋体" w:cs="宋体"/>
          <w:b/>
          <w:sz w:val="24"/>
          <w:szCs w:val="24"/>
          <w:lang w:val="zh-CN"/>
        </w:rPr>
      </w:pPr>
      <w:r>
        <w:rPr>
          <w:rFonts w:hint="eastAsia" w:ascii="宋体" w:hAnsi="宋体" w:eastAsia="宋体" w:cs="宋体"/>
          <w:b/>
          <w:sz w:val="24"/>
          <w:szCs w:val="24"/>
          <w:lang w:val="zh-CN"/>
        </w:rPr>
        <w:t>投标文件的数量和签署</w:t>
      </w:r>
    </w:p>
    <w:p>
      <w:pPr>
        <w:numPr>
          <w:ilvl w:val="0"/>
          <w:numId w:val="22"/>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供应商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2"/>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2"/>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投标文件中任何涂改和增删，应由法定代表人或经其正式授权的代表在旁边签字后方为有效。</w:t>
      </w:r>
    </w:p>
    <w:p>
      <w:pPr>
        <w:numPr>
          <w:ilvl w:val="0"/>
          <w:numId w:val="22"/>
        </w:numPr>
        <w:spacing w:line="360" w:lineRule="auto"/>
        <w:ind w:left="616" w:hanging="616"/>
        <w:rPr>
          <w:rFonts w:ascii="宋体" w:hAnsi="宋体" w:eastAsia="宋体" w:cs="宋体"/>
          <w:sz w:val="24"/>
          <w:szCs w:val="24"/>
          <w:lang w:val="zh-CN"/>
        </w:rPr>
      </w:pPr>
      <w:r>
        <w:rPr>
          <w:rFonts w:hint="eastAsia" w:ascii="宋体" w:hAnsi="宋体" w:eastAsia="宋体" w:cs="宋体"/>
          <w:sz w:val="24"/>
          <w:szCs w:val="24"/>
          <w:lang w:val="zh-CN"/>
        </w:rPr>
        <w:t>招标文件中要求加盖公章及签字（签章）之处，投标文件正本中应按要求提供加盖公章及签字（签章）的原件，否则按照</w:t>
      </w:r>
      <w:r>
        <w:rPr>
          <w:rFonts w:hint="eastAsia" w:ascii="宋体" w:hAnsi="宋体" w:eastAsia="宋体" w:cs="宋体"/>
          <w:b/>
          <w:sz w:val="24"/>
          <w:szCs w:val="24"/>
          <w:lang w:val="zh-CN"/>
        </w:rPr>
        <w:t>无效投标处理。</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投标文件的密封和标记</w:t>
      </w:r>
    </w:p>
    <w:p>
      <w:pPr>
        <w:numPr>
          <w:ilvl w:val="0"/>
          <w:numId w:val="2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供应商应将投标文件第一部分资格证明文件、第二部分商务文件、第三部分技术、服务文件一册装订，一册封装。</w:t>
      </w:r>
    </w:p>
    <w:p>
      <w:pPr>
        <w:numPr>
          <w:ilvl w:val="0"/>
          <w:numId w:val="2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供应商应将投标文件</w:t>
      </w:r>
      <w:r>
        <w:rPr>
          <w:rFonts w:hint="eastAsia" w:ascii="宋体" w:hAnsi="宋体" w:eastAsia="宋体" w:cs="宋体"/>
          <w:b/>
          <w:sz w:val="24"/>
          <w:szCs w:val="20"/>
          <w:lang w:val="zh-CN"/>
        </w:rPr>
        <w:t>正本和副本</w:t>
      </w:r>
      <w:r>
        <w:rPr>
          <w:rFonts w:hint="eastAsia" w:ascii="宋体" w:hAnsi="宋体" w:eastAsia="宋体" w:cs="宋体"/>
          <w:sz w:val="24"/>
          <w:szCs w:val="20"/>
          <w:lang w:val="zh-CN"/>
        </w:rPr>
        <w:t>分开密封装在单独的封包中，并在封包上标明“正本”、“副本”字样。</w:t>
      </w:r>
    </w:p>
    <w:p>
      <w:pPr>
        <w:numPr>
          <w:ilvl w:val="0"/>
          <w:numId w:val="2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如果未按要求加写密封、标记或存在错误，采购代理机构对其误投或提前启封概不负责。</w:t>
      </w:r>
    </w:p>
    <w:p>
      <w:pPr>
        <w:numPr>
          <w:ilvl w:val="0"/>
          <w:numId w:val="23"/>
        </w:numPr>
        <w:spacing w:line="360" w:lineRule="auto"/>
        <w:ind w:left="616" w:hanging="616"/>
        <w:rPr>
          <w:rFonts w:ascii="宋体" w:hAnsi="宋体" w:eastAsia="宋体" w:cs="宋体"/>
          <w:b/>
          <w:sz w:val="24"/>
          <w:szCs w:val="20"/>
          <w:lang w:val="zh-CN"/>
        </w:rPr>
      </w:pPr>
      <w:r>
        <w:rPr>
          <w:rFonts w:hint="eastAsia" w:ascii="宋体" w:hAnsi="宋体" w:eastAsia="宋体" w:cs="宋体"/>
          <w:sz w:val="24"/>
          <w:szCs w:val="20"/>
          <w:lang w:val="zh-CN"/>
        </w:rPr>
        <w:t>为方便开标时唱标，供应商应将《开标一览表》原件及《交纳投标保证金的银行凭证》（若有交纳保证金要求的）各一份一并</w:t>
      </w:r>
      <w:r>
        <w:rPr>
          <w:rFonts w:hint="eastAsia" w:ascii="宋体" w:hAnsi="宋体" w:eastAsia="宋体" w:cs="宋体"/>
          <w:spacing w:val="-6"/>
          <w:kern w:val="0"/>
          <w:sz w:val="24"/>
          <w:szCs w:val="20"/>
          <w:lang w:val="zh-CN"/>
        </w:rPr>
        <w:t>装入一个信封，单独密封提交</w:t>
      </w:r>
      <w:r>
        <w:rPr>
          <w:rFonts w:hint="eastAsia" w:ascii="宋体" w:hAnsi="宋体" w:eastAsia="宋体" w:cs="宋体"/>
          <w:sz w:val="24"/>
          <w:szCs w:val="20"/>
          <w:lang w:val="zh-CN"/>
        </w:rPr>
        <w:t>，并在信封上标明“开标一览表”字样。未单独提交或单独提交的上述资料未按照招标文件规定的格式填写完整并签字、盖章的采购代理机构</w:t>
      </w:r>
      <w:r>
        <w:rPr>
          <w:rFonts w:hint="eastAsia" w:ascii="宋体" w:hAnsi="宋体" w:eastAsia="宋体" w:cs="宋体"/>
          <w:b/>
          <w:sz w:val="24"/>
          <w:szCs w:val="20"/>
          <w:lang w:val="zh-CN"/>
        </w:rPr>
        <w:t>拒绝</w:t>
      </w:r>
      <w:r>
        <w:rPr>
          <w:rFonts w:hint="eastAsia" w:ascii="宋体" w:hAnsi="宋体" w:eastAsia="宋体" w:cs="宋体"/>
          <w:sz w:val="24"/>
          <w:szCs w:val="20"/>
          <w:lang w:val="zh-CN"/>
        </w:rPr>
        <w:t>其投标。</w:t>
      </w:r>
    </w:p>
    <w:p>
      <w:pPr>
        <w:numPr>
          <w:ilvl w:val="0"/>
          <w:numId w:val="2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“开标一览表”信封和投标文件的封包上应注明采购项目编号、项目名称、投标内容和有“在（招标文件中规定的开标日期和时间）之前不得启封”的字样，封口处加盖供应商公章。</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投标文件递交</w:t>
      </w:r>
    </w:p>
    <w:p>
      <w:pPr>
        <w:numPr>
          <w:ilvl w:val="0"/>
          <w:numId w:val="24"/>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供应商应在不迟于投标邀请书中规定的投标截止日期和时间将投标文件密封递交至采购代理机构规定的投标地点。</w:t>
      </w:r>
    </w:p>
    <w:p>
      <w:pPr>
        <w:numPr>
          <w:ilvl w:val="0"/>
          <w:numId w:val="24"/>
        </w:numPr>
        <w:spacing w:line="360" w:lineRule="auto"/>
        <w:ind w:left="616" w:hanging="616"/>
        <w:rPr>
          <w:rFonts w:ascii="宋体" w:hAnsi="宋体" w:eastAsia="宋体" w:cs="宋体"/>
          <w:b/>
          <w:kern w:val="0"/>
          <w:sz w:val="24"/>
          <w:szCs w:val="24"/>
          <w:lang w:val="zh-CN"/>
        </w:rPr>
      </w:pPr>
      <w:r>
        <w:rPr>
          <w:rFonts w:hint="eastAsia" w:ascii="宋体" w:hAnsi="宋体" w:eastAsia="宋体" w:cs="宋体"/>
          <w:b/>
          <w:kern w:val="0"/>
          <w:sz w:val="24"/>
          <w:szCs w:val="24"/>
          <w:lang w:val="zh-CN"/>
        </w:rPr>
        <w:t>采购代理机构拒收逾期送达或者未按招标文件要求密封的投标文件。</w:t>
      </w:r>
    </w:p>
    <w:p>
      <w:pPr>
        <w:numPr>
          <w:ilvl w:val="0"/>
          <w:numId w:val="24"/>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采购代理机构收到投标文件后，应当如实记载投标文件的送达时间和密封情况，签收保存，并向供应商出具签收回执。</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投标文件的修改和撤回</w:t>
      </w:r>
    </w:p>
    <w:p>
      <w:pPr>
        <w:numPr>
          <w:ilvl w:val="0"/>
          <w:numId w:val="25"/>
        </w:numPr>
        <w:spacing w:line="360" w:lineRule="auto"/>
        <w:ind w:left="616" w:hanging="616"/>
        <w:rPr>
          <w:rFonts w:ascii="宋体" w:hAnsi="宋体" w:eastAsia="宋体" w:cs="宋体"/>
          <w:strike/>
          <w:sz w:val="24"/>
          <w:szCs w:val="20"/>
          <w:lang w:val="zh-CN"/>
        </w:rPr>
      </w:pPr>
      <w:r>
        <w:rPr>
          <w:rFonts w:hint="eastAsia" w:ascii="宋体" w:hAnsi="宋体" w:eastAsia="宋体" w:cs="宋体"/>
          <w:sz w:val="24"/>
          <w:szCs w:val="20"/>
          <w:lang w:val="zh-CN"/>
        </w:rPr>
        <w:t>供应商在投标截止时间前，可以对所递交的投标文件进行补充、修改或者撤回，并书面通知采购代理机构。补充、修改的内容应当按照招标文件要求签署、盖章、密封后，作为投标文件的组成部分。</w:t>
      </w:r>
    </w:p>
    <w:p>
      <w:pPr>
        <w:numPr>
          <w:ilvl w:val="0"/>
          <w:numId w:val="25"/>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投标有效期内供应商不得撤销其投标文件，否则按照本章“投标保证金”的规定其投标保证金不予退还。</w:t>
      </w:r>
    </w:p>
    <w:p>
      <w:pPr>
        <w:numPr>
          <w:ilvl w:val="0"/>
          <w:numId w:val="25"/>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供应商所递交的投标文件无论中标与否不予退还。</w:t>
      </w:r>
    </w:p>
    <w:p>
      <w:pPr>
        <w:pStyle w:val="3"/>
        <w:numPr>
          <w:ilvl w:val="0"/>
          <w:numId w:val="4"/>
        </w:numPr>
        <w:spacing w:before="40" w:after="40" w:line="360" w:lineRule="auto"/>
        <w:ind w:left="658" w:hanging="658"/>
        <w:jc w:val="left"/>
        <w:rPr>
          <w:rFonts w:ascii="宋体" w:hAnsi="宋体" w:eastAsia="宋体" w:cs="宋体"/>
          <w:bCs w:val="0"/>
          <w:lang w:val="zh-CN"/>
        </w:rPr>
      </w:pPr>
      <w:bookmarkStart w:id="14" w:name="_Toc495848891"/>
      <w:bookmarkStart w:id="15" w:name="_Toc494561942"/>
      <w:bookmarkStart w:id="16" w:name="_Toc278891595"/>
      <w:bookmarkStart w:id="17" w:name="_Toc272247698"/>
      <w:r>
        <w:rPr>
          <w:rFonts w:hint="eastAsia" w:ascii="宋体" w:hAnsi="宋体" w:eastAsia="宋体" w:cs="宋体"/>
          <w:bCs w:val="0"/>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开标</w:t>
      </w:r>
    </w:p>
    <w:p>
      <w:pPr>
        <w:numPr>
          <w:ilvl w:val="0"/>
          <w:numId w:val="26"/>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采购代理机构在第一章“投标邀请书”中约定的日期、时间和地点组织公开开标。开标时采购人和供应商代表（供应商法定代表人或其授权代表）参加,参加开标的代表应签到以证明其出席。</w:t>
      </w:r>
    </w:p>
    <w:p>
      <w:pPr>
        <w:numPr>
          <w:ilvl w:val="0"/>
          <w:numId w:val="26"/>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供应商法定代表人或其授权代表应携带有效身份证明参加项目开标会，供应商未参加开标的，视同认可开标结果。截止</w:t>
      </w:r>
      <w:r>
        <w:rPr>
          <w:rFonts w:hint="eastAsia" w:ascii="宋体" w:hAnsi="宋体" w:eastAsia="宋体" w:cs="宋体"/>
          <w:kern w:val="0"/>
          <w:sz w:val="24"/>
          <w:szCs w:val="24"/>
        </w:rPr>
        <w:t>投标文件</w:t>
      </w:r>
      <w:r>
        <w:rPr>
          <w:rFonts w:hint="eastAsia" w:ascii="宋体" w:hAnsi="宋体" w:eastAsia="宋体" w:cs="宋体"/>
          <w:sz w:val="24"/>
          <w:szCs w:val="20"/>
          <w:lang w:val="zh-CN"/>
        </w:rPr>
        <w:t>递交时间，供应商不足3家的，不进行开标</w:t>
      </w:r>
      <w:r>
        <w:rPr>
          <w:rFonts w:hint="eastAsia" w:ascii="宋体" w:hAnsi="宋体" w:eastAsia="宋体" w:cs="宋体"/>
          <w:kern w:val="0"/>
          <w:sz w:val="24"/>
          <w:szCs w:val="24"/>
          <w:lang w:val="zh-CN"/>
        </w:rPr>
        <w:t>。</w:t>
      </w:r>
    </w:p>
    <w:p>
      <w:pPr>
        <w:numPr>
          <w:ilvl w:val="0"/>
          <w:numId w:val="26"/>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开标时，由供应商或其推选的代表检查投标文件的密封情况，经确认无误后由采购代理机构工作人员当众拆封，宣布供应商名称、投标价格和招标文件规定的需要宣布的其他内容。</w:t>
      </w:r>
    </w:p>
    <w:p>
      <w:pPr>
        <w:numPr>
          <w:ilvl w:val="0"/>
          <w:numId w:val="26"/>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采购代理机构负责对开标过程进行记录，由参加开标的各供应商代表和相关工作人员对开标记录进行签字确认。</w:t>
      </w:r>
    </w:p>
    <w:p>
      <w:pPr>
        <w:numPr>
          <w:ilvl w:val="0"/>
          <w:numId w:val="26"/>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供应商代表对开标过程和开标记录有疑义，以及认为采购人、采购代理机构相关工作人员有需要回避的情形的，应当场提出询问或者回避申请。采购人、采购代理机构将及时处理供应商代表提出的询问或者回避申请。</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资格审查</w:t>
      </w:r>
    </w:p>
    <w:p>
      <w:pPr>
        <w:numPr>
          <w:ilvl w:val="0"/>
          <w:numId w:val="27"/>
        </w:numPr>
        <w:spacing w:line="360" w:lineRule="auto"/>
        <w:ind w:left="616" w:hanging="616"/>
        <w:rPr>
          <w:rFonts w:ascii="宋体" w:hAnsi="宋体" w:eastAsia="宋体" w:cs="宋体"/>
          <w:kern w:val="0"/>
          <w:sz w:val="24"/>
          <w:szCs w:val="24"/>
          <w:lang w:val="zh-CN"/>
        </w:rPr>
      </w:pPr>
      <w:r>
        <w:rPr>
          <w:rFonts w:hint="eastAsia" w:ascii="宋体" w:hAnsi="宋体" w:eastAsia="宋体" w:cs="宋体"/>
          <w:bCs/>
          <w:sz w:val="24"/>
          <w:szCs w:val="20"/>
          <w:lang w:val="zh-CN"/>
        </w:rPr>
        <w:t>公开招标采购项目开标结束后，采购人与采购代理机构依据法律、法规及招标文件的规定，对供应商的资格进行审查，以确定供应商资格是否合格。</w:t>
      </w:r>
      <w:r>
        <w:rPr>
          <w:rFonts w:hint="eastAsia" w:ascii="宋体" w:hAnsi="宋体" w:eastAsia="宋体" w:cs="宋体"/>
          <w:kern w:val="0"/>
          <w:sz w:val="24"/>
          <w:szCs w:val="24"/>
          <w:lang w:val="zh-CN"/>
        </w:rPr>
        <w:t>合格供应商不足3家的，不进行评标。</w:t>
      </w:r>
    </w:p>
    <w:p>
      <w:pPr>
        <w:numPr>
          <w:ilvl w:val="0"/>
          <w:numId w:val="27"/>
        </w:numPr>
        <w:spacing w:line="360" w:lineRule="auto"/>
        <w:ind w:left="616" w:hanging="616"/>
        <w:rPr>
          <w:rFonts w:ascii="宋体" w:hAnsi="宋体" w:eastAsia="宋体" w:cs="宋体"/>
          <w:bCs/>
          <w:sz w:val="24"/>
          <w:szCs w:val="20"/>
          <w:lang w:val="zh-CN"/>
        </w:rPr>
      </w:pPr>
      <w:r>
        <w:rPr>
          <w:rFonts w:hint="eastAsia" w:ascii="宋体" w:hAnsi="宋体" w:eastAsia="宋体" w:cs="宋体"/>
          <w:bCs/>
          <w:sz w:val="24"/>
          <w:szCs w:val="20"/>
          <w:lang w:val="zh-CN"/>
        </w:rPr>
        <w:t>资格审查详见第四章“资格审查方法及标准”。</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评标方法</w:t>
      </w:r>
    </w:p>
    <w:p>
      <w:pPr>
        <w:numPr>
          <w:ilvl w:val="0"/>
          <w:numId w:val="28"/>
        </w:numPr>
        <w:spacing w:line="360" w:lineRule="auto"/>
        <w:ind w:left="616" w:hanging="616"/>
        <w:rPr>
          <w:rFonts w:ascii="宋体" w:hAnsi="宋体" w:eastAsia="宋体" w:cs="宋体"/>
          <w:bCs/>
          <w:sz w:val="24"/>
          <w:szCs w:val="20"/>
          <w:lang w:val="zh-CN"/>
        </w:rPr>
      </w:pPr>
      <w:r>
        <w:rPr>
          <w:rFonts w:hint="eastAsia" w:ascii="宋体" w:hAnsi="宋体" w:eastAsia="宋体" w:cs="宋体"/>
          <w:bCs/>
          <w:sz w:val="24"/>
          <w:szCs w:val="20"/>
          <w:lang w:val="zh-CN"/>
        </w:rPr>
        <w:t>最低评标价法。最低评标价法是指投标文件满足招标文件全部实质性要求，且投标报价最低的供应商为中标候选人的评标方法。</w:t>
      </w:r>
    </w:p>
    <w:p>
      <w:pPr>
        <w:numPr>
          <w:ilvl w:val="0"/>
          <w:numId w:val="28"/>
        </w:numPr>
        <w:spacing w:line="360" w:lineRule="auto"/>
        <w:ind w:left="616" w:hanging="616"/>
        <w:rPr>
          <w:rFonts w:ascii="宋体" w:hAnsi="宋体" w:eastAsia="宋体" w:cs="宋体"/>
          <w:bCs/>
          <w:sz w:val="24"/>
          <w:szCs w:val="20"/>
          <w:lang w:val="zh-CN"/>
        </w:rPr>
      </w:pPr>
      <w:r>
        <w:rPr>
          <w:rFonts w:hint="eastAsia" w:ascii="宋体" w:hAnsi="宋体" w:eastAsia="宋体" w:cs="宋体"/>
          <w:bCs/>
          <w:sz w:val="24"/>
          <w:szCs w:val="20"/>
          <w:lang w:val="zh-CN"/>
        </w:rPr>
        <w:t>综合评分法。综合评分法是指投标文件满足招标文件全部实质性要求，且按照评审因素的量化指标评审得分最高的供应商为中标候选人的评标方法。</w:t>
      </w:r>
    </w:p>
    <w:p>
      <w:pPr>
        <w:numPr>
          <w:ilvl w:val="0"/>
          <w:numId w:val="28"/>
        </w:numPr>
        <w:spacing w:line="360" w:lineRule="auto"/>
        <w:ind w:left="616" w:hanging="616"/>
        <w:rPr>
          <w:rFonts w:ascii="宋体" w:hAnsi="宋体" w:eastAsia="宋体" w:cs="宋体"/>
          <w:bCs/>
          <w:sz w:val="24"/>
          <w:szCs w:val="20"/>
          <w:lang w:val="zh-CN"/>
        </w:rPr>
      </w:pPr>
      <w:r>
        <w:rPr>
          <w:rFonts w:hint="eastAsia" w:ascii="宋体" w:hAnsi="宋体" w:eastAsia="宋体" w:cs="宋体"/>
          <w:kern w:val="0"/>
          <w:sz w:val="24"/>
          <w:szCs w:val="24"/>
          <w:lang w:val="zh-CN"/>
        </w:rPr>
        <w:t>评标方法详见第五章“评标方法、程序及标准”</w:t>
      </w:r>
      <w:r>
        <w:rPr>
          <w:rFonts w:hint="eastAsia" w:ascii="宋体" w:hAnsi="宋体" w:eastAsia="宋体" w:cs="宋体"/>
          <w:bCs/>
          <w:sz w:val="24"/>
          <w:szCs w:val="20"/>
          <w:lang w:val="zh-CN"/>
        </w:rPr>
        <w:t>。</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评标委员会的组成</w:t>
      </w:r>
    </w:p>
    <w:p>
      <w:pPr>
        <w:numPr>
          <w:ilvl w:val="0"/>
          <w:numId w:val="29"/>
        </w:numPr>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评标委员会由采购人代表和评审专家组成，成员人数应当为5人及以上单数，其中评审专家不得少于成员总数的三分之二；</w:t>
      </w:r>
      <w:r>
        <w:rPr>
          <w:rFonts w:hint="eastAsia" w:ascii="宋体" w:hAnsi="宋体" w:eastAsia="宋体" w:cs="宋体"/>
          <w:sz w:val="24"/>
          <w:szCs w:val="20"/>
          <w:lang w:val="zh-CN"/>
        </w:rPr>
        <w:t>采购预算金额在1000万元及以上、技术复杂或社会影响较大的项目，评标委员会成员人数应当为7人及以上单数。</w:t>
      </w:r>
    </w:p>
    <w:p>
      <w:pPr>
        <w:numPr>
          <w:ilvl w:val="0"/>
          <w:numId w:val="29"/>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评标委员会成员依法从政府采购专家库中随机抽取。对技术复杂、专业性强的采购项目，通过随机方式难以确定合适评审专家的，经主管预算单位同意，采购人可以自行选定相应专业领域的评审专家。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评标程序</w:t>
      </w:r>
    </w:p>
    <w:p>
      <w:pPr>
        <w:numPr>
          <w:ilvl w:val="0"/>
          <w:numId w:val="30"/>
        </w:numPr>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评标委员会负责具体评标事务，并独立履行下列职责：</w:t>
      </w:r>
    </w:p>
    <w:p>
      <w:pPr>
        <w:numPr>
          <w:ilvl w:val="0"/>
          <w:numId w:val="31"/>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审查、评价投标文件是否符合招标文件的商务、技术等实质性要求；</w:t>
      </w:r>
    </w:p>
    <w:p>
      <w:pPr>
        <w:numPr>
          <w:ilvl w:val="0"/>
          <w:numId w:val="31"/>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要求供应商对投标文件有关事项作出澄清或者说明；</w:t>
      </w:r>
    </w:p>
    <w:p>
      <w:pPr>
        <w:numPr>
          <w:ilvl w:val="0"/>
          <w:numId w:val="31"/>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对投标文件进行综合比较和评价；</w:t>
      </w:r>
    </w:p>
    <w:p>
      <w:pPr>
        <w:numPr>
          <w:ilvl w:val="0"/>
          <w:numId w:val="31"/>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确定中标候选人名单或中标人；</w:t>
      </w:r>
    </w:p>
    <w:p>
      <w:pPr>
        <w:numPr>
          <w:ilvl w:val="0"/>
          <w:numId w:val="31"/>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向采购人、采购代理机构或者有关部门报告评标中发现的违法行为。</w:t>
      </w:r>
    </w:p>
    <w:p>
      <w:pPr>
        <w:numPr>
          <w:ilvl w:val="0"/>
          <w:numId w:val="30"/>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评标程序详见第五章“评标方法、程序及标准”。</w:t>
      </w:r>
    </w:p>
    <w:p>
      <w:pPr>
        <w:pStyle w:val="3"/>
        <w:numPr>
          <w:ilvl w:val="0"/>
          <w:numId w:val="4"/>
        </w:numPr>
        <w:spacing w:before="40" w:after="40" w:line="360" w:lineRule="auto"/>
        <w:ind w:left="658" w:hanging="658"/>
        <w:jc w:val="left"/>
        <w:rPr>
          <w:rFonts w:ascii="宋体" w:hAnsi="宋体" w:eastAsia="宋体" w:cs="宋体"/>
          <w:bCs w:val="0"/>
          <w:lang w:val="zh-CN"/>
        </w:rPr>
      </w:pPr>
      <w:bookmarkStart w:id="18" w:name="_Toc494561943"/>
      <w:bookmarkStart w:id="19" w:name="_Toc495848892"/>
      <w:r>
        <w:rPr>
          <w:rFonts w:hint="eastAsia" w:ascii="宋体" w:hAnsi="宋体" w:eastAsia="宋体" w:cs="宋体"/>
          <w:bCs w:val="0"/>
          <w:lang w:val="zh-CN"/>
        </w:rPr>
        <w:t>供应商信用信息及查询</w:t>
      </w:r>
      <w:bookmarkEnd w:id="18"/>
      <w:bookmarkEnd w:id="19"/>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信用信息查询渠道及使用规则</w:t>
      </w:r>
    </w:p>
    <w:p>
      <w:pPr>
        <w:numPr>
          <w:ilvl w:val="0"/>
          <w:numId w:val="32"/>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按照《关于在政府采购活动中查询及使用信用记录有关问题的通知》的要求，参与政府采购的供应商，信用记录的查询渠道为“信用中国”网站(www</w:t>
      </w:r>
      <w:r>
        <w:rPr>
          <w:rFonts w:hint="eastAsia" w:ascii="宋体" w:hAnsi="宋体" w:eastAsia="宋体" w:cs="宋体"/>
          <w:kern w:val="0"/>
          <w:sz w:val="24"/>
          <w:szCs w:val="24"/>
        </w:rPr>
        <w:t>.</w:t>
      </w:r>
      <w:r>
        <w:rPr>
          <w:rFonts w:hint="eastAsia" w:ascii="宋体" w:hAnsi="宋体" w:eastAsia="宋体" w:cs="宋体"/>
          <w:kern w:val="0"/>
          <w:sz w:val="24"/>
          <w:szCs w:val="24"/>
          <w:lang w:val="zh-CN"/>
        </w:rPr>
        <w:t>creditchina.gov.cn)中国政府采购网(</w:t>
      </w:r>
      <w:r>
        <w:fldChar w:fldCharType="begin"/>
      </w:r>
      <w:r>
        <w:instrText xml:space="preserve"> HYPERLINK "http://www.ccgp.gov.cn" </w:instrText>
      </w:r>
      <w:r>
        <w:fldChar w:fldCharType="separate"/>
      </w:r>
      <w:r>
        <w:rPr>
          <w:rFonts w:hint="eastAsia" w:ascii="宋体" w:hAnsi="宋体" w:eastAsia="宋体" w:cs="宋体"/>
          <w:kern w:val="0"/>
          <w:sz w:val="24"/>
          <w:szCs w:val="24"/>
          <w:lang w:val="zh-CN"/>
        </w:rPr>
        <w:t>www.ccgp.gov.cn</w:t>
      </w:r>
      <w:r>
        <w:rPr>
          <w:rFonts w:hint="eastAsia" w:ascii="宋体" w:hAnsi="宋体" w:eastAsia="宋体" w:cs="宋体"/>
          <w:kern w:val="0"/>
          <w:sz w:val="24"/>
          <w:szCs w:val="24"/>
          <w:lang w:val="zh-CN"/>
        </w:rPr>
        <w:fldChar w:fldCharType="end"/>
      </w:r>
      <w:r>
        <w:rPr>
          <w:rFonts w:hint="eastAsia" w:ascii="宋体" w:hAnsi="宋体" w:eastAsia="宋体" w:cs="宋体"/>
          <w:kern w:val="0"/>
          <w:sz w:val="24"/>
          <w:szCs w:val="24"/>
          <w:lang w:val="zh-CN"/>
        </w:rPr>
        <w:t>)。</w:t>
      </w:r>
    </w:p>
    <w:p>
      <w:pPr>
        <w:numPr>
          <w:ilvl w:val="0"/>
          <w:numId w:val="32"/>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列入失信被执行人、重大税收违法案件当事人名单、政府采购严重违法失信行为记录名单的供应商，采购代理机构</w:t>
      </w:r>
      <w:r>
        <w:rPr>
          <w:rFonts w:hint="eastAsia" w:ascii="宋体" w:hAnsi="宋体" w:eastAsia="宋体" w:cs="宋体"/>
          <w:b/>
          <w:kern w:val="0"/>
          <w:sz w:val="24"/>
          <w:szCs w:val="24"/>
          <w:lang w:val="zh-CN"/>
        </w:rPr>
        <w:t>拒绝</w:t>
      </w:r>
      <w:r>
        <w:rPr>
          <w:rFonts w:hint="eastAsia" w:ascii="宋体" w:hAnsi="宋体" w:eastAsia="宋体" w:cs="宋体"/>
          <w:kern w:val="0"/>
          <w:sz w:val="24"/>
          <w:szCs w:val="24"/>
          <w:lang w:val="zh-CN"/>
        </w:rPr>
        <w:t>其参与政府采购活动。</w:t>
      </w:r>
    </w:p>
    <w:p>
      <w:pPr>
        <w:numPr>
          <w:ilvl w:val="0"/>
          <w:numId w:val="32"/>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32"/>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供应商的信用记录，最终以评标时的“信用中国”网站发布的信息为准。</w:t>
      </w:r>
    </w:p>
    <w:p>
      <w:pPr>
        <w:numPr>
          <w:ilvl w:val="0"/>
          <w:numId w:val="32"/>
        </w:numPr>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在资格审查与评标工作未同日进行的特殊情形下，采购代理机构工作人员在评标时对供应商的信用信息进行复核，发现评标当日存在不良信用信息的，由评标委员会按照符合性审查不合格作</w:t>
      </w:r>
      <w:r>
        <w:rPr>
          <w:rFonts w:hint="eastAsia" w:ascii="宋体" w:hAnsi="宋体" w:eastAsia="宋体" w:cs="宋体"/>
          <w:b/>
          <w:kern w:val="0"/>
          <w:sz w:val="24"/>
          <w:szCs w:val="24"/>
          <w:lang w:val="zh-CN"/>
        </w:rPr>
        <w:t>无效投标处理</w:t>
      </w:r>
      <w:r>
        <w:rPr>
          <w:rFonts w:hint="eastAsia" w:ascii="宋体" w:hAnsi="宋体" w:eastAsia="宋体" w:cs="宋体"/>
          <w:kern w:val="0"/>
          <w:sz w:val="24"/>
          <w:szCs w:val="24"/>
          <w:lang w:val="zh-CN"/>
        </w:rPr>
        <w:t>。</w:t>
      </w:r>
    </w:p>
    <w:p>
      <w:pPr>
        <w:pStyle w:val="3"/>
        <w:numPr>
          <w:ilvl w:val="0"/>
          <w:numId w:val="4"/>
        </w:numPr>
        <w:spacing w:before="40" w:after="40" w:line="360" w:lineRule="auto"/>
        <w:ind w:left="658" w:hanging="658"/>
        <w:jc w:val="left"/>
        <w:rPr>
          <w:rFonts w:ascii="宋体" w:hAnsi="宋体" w:eastAsia="宋体" w:cs="宋体"/>
          <w:bCs w:val="0"/>
          <w:lang w:val="zh-CN"/>
        </w:rPr>
      </w:pPr>
      <w:bookmarkStart w:id="20" w:name="_Toc494561944"/>
      <w:bookmarkStart w:id="21" w:name="_Toc495848893"/>
      <w:r>
        <w:rPr>
          <w:rFonts w:hint="eastAsia" w:ascii="宋体" w:hAnsi="宋体" w:eastAsia="宋体" w:cs="宋体"/>
          <w:bCs w:val="0"/>
          <w:lang w:val="zh-CN"/>
        </w:rPr>
        <w:t>中标与合同</w:t>
      </w:r>
      <w:bookmarkEnd w:id="20"/>
      <w:bookmarkEnd w:id="21"/>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确定中标人</w:t>
      </w:r>
    </w:p>
    <w:p>
      <w:pPr>
        <w:numPr>
          <w:ilvl w:val="0"/>
          <w:numId w:val="33"/>
        </w:numPr>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采购人收到评标报告5个工作日内，按评标报告推荐的中标候选人顺序确定中标人。</w:t>
      </w:r>
    </w:p>
    <w:p>
      <w:pPr>
        <w:numPr>
          <w:ilvl w:val="0"/>
          <w:numId w:val="33"/>
        </w:numPr>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中标候选人并列的：</w:t>
      </w:r>
    </w:p>
    <w:p>
      <w:pPr>
        <w:numPr>
          <w:ilvl w:val="0"/>
          <w:numId w:val="34"/>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采用最低评标价法的，评标结果按投标报价由低到高顺序排列。投标报价相同 的并列，由采购人确定或者采购人委托评标委员会以投票方式确定中标人。</w:t>
      </w:r>
    </w:p>
    <w:p>
      <w:pPr>
        <w:numPr>
          <w:ilvl w:val="0"/>
          <w:numId w:val="34"/>
        </w:numPr>
        <w:spacing w:line="360" w:lineRule="auto"/>
        <w:ind w:left="980" w:hanging="854"/>
        <w:rPr>
          <w:rFonts w:ascii="宋体" w:hAnsi="宋体" w:eastAsia="宋体" w:cs="宋体"/>
          <w:sz w:val="24"/>
          <w:szCs w:val="20"/>
          <w:lang w:val="zh-CN"/>
        </w:rPr>
      </w:pPr>
      <w:r>
        <w:rPr>
          <w:rFonts w:hint="eastAsia" w:ascii="宋体" w:hAnsi="宋体" w:eastAsia="宋体" w:cs="宋体"/>
          <w:sz w:val="24"/>
          <w:szCs w:val="20"/>
          <w:lang w:val="zh-CN"/>
        </w:rPr>
        <w:t>采用综合评分法的，评标结果按评审后得分由高到低顺序排列。得分相同的，按投标报价由低到高顺序排列。得分且投标报价相同的并列，由采购人确定或者采购人委托评标委员会以投票方式确定中标人。</w:t>
      </w:r>
    </w:p>
    <w:p>
      <w:pPr>
        <w:numPr>
          <w:ilvl w:val="0"/>
          <w:numId w:val="3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中标人的数量有其他规定的，按招标文件相关规定执行。</w:t>
      </w:r>
    </w:p>
    <w:p>
      <w:pPr>
        <w:numPr>
          <w:ilvl w:val="0"/>
          <w:numId w:val="33"/>
        </w:numPr>
        <w:spacing w:line="360" w:lineRule="auto"/>
        <w:ind w:left="616" w:hanging="616"/>
        <w:rPr>
          <w:rFonts w:ascii="宋体" w:hAnsi="宋体" w:eastAsia="宋体" w:cs="宋体"/>
          <w:strike/>
          <w:sz w:val="24"/>
          <w:szCs w:val="20"/>
          <w:lang w:val="zh-CN"/>
        </w:rPr>
      </w:pPr>
      <w:r>
        <w:rPr>
          <w:rFonts w:hint="eastAsia" w:ascii="宋体" w:hAnsi="宋体" w:eastAsia="宋体" w:cs="宋体"/>
          <w:sz w:val="24"/>
          <w:szCs w:val="20"/>
          <w:lang w:val="zh-CN"/>
        </w:rPr>
        <w:t>中标人确定后，采购代理机构在政府采购监管部门指定的媒体上发布中标公告，同时向中标人和采购人发出《中标通知书》。《中标通知书》是政府采购合同的组成部分,对中标人和采购人具有同等法律效力。</w:t>
      </w:r>
    </w:p>
    <w:p>
      <w:pPr>
        <w:numPr>
          <w:ilvl w:val="0"/>
          <w:numId w:val="33"/>
        </w:numPr>
        <w:spacing w:line="360" w:lineRule="auto"/>
        <w:ind w:left="616" w:hanging="616"/>
        <w:rPr>
          <w:rFonts w:ascii="宋体" w:hAnsi="宋体" w:eastAsia="宋体" w:cs="宋体"/>
          <w:strike/>
          <w:sz w:val="24"/>
          <w:szCs w:val="20"/>
          <w:lang w:val="zh-CN"/>
        </w:rPr>
      </w:pPr>
      <w:r>
        <w:rPr>
          <w:rFonts w:hint="eastAsia" w:ascii="宋体" w:hAnsi="宋体" w:eastAsia="宋体" w:cs="宋体"/>
          <w:kern w:val="0"/>
          <w:sz w:val="24"/>
          <w:szCs w:val="24"/>
          <w:lang w:val="zh-CN"/>
        </w:rPr>
        <w:t>中标通知书发出后，采购人不得违法改变中标结果，中标人无正当理由不得放弃中标。</w:t>
      </w:r>
    </w:p>
    <w:p>
      <w:pPr>
        <w:numPr>
          <w:ilvl w:val="0"/>
          <w:numId w:val="33"/>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合同授予</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合同签订</w:t>
      </w:r>
    </w:p>
    <w:p>
      <w:pPr>
        <w:numPr>
          <w:ilvl w:val="0"/>
          <w:numId w:val="35"/>
        </w:numPr>
        <w:spacing w:line="360" w:lineRule="auto"/>
        <w:ind w:left="616" w:hanging="616"/>
        <w:rPr>
          <w:rFonts w:ascii="宋体" w:hAnsi="宋体" w:eastAsia="宋体" w:cs="宋体"/>
          <w:sz w:val="24"/>
          <w:szCs w:val="20"/>
          <w:lang w:val="zh-CN"/>
        </w:rPr>
      </w:pPr>
      <w:bookmarkStart w:id="22" w:name="_Toc278891597"/>
      <w:bookmarkStart w:id="23" w:name="_Toc272247700"/>
      <w:r>
        <w:rPr>
          <w:rFonts w:hint="eastAsia" w:ascii="宋体" w:hAnsi="宋体" w:eastAsia="宋体" w:cs="宋体"/>
          <w:sz w:val="24"/>
          <w:szCs w:val="20"/>
          <w:lang w:val="zh-CN"/>
        </w:rPr>
        <w:t>采购人应当自中标通知书发出之日起30日内，按照招标文件规定和中标人投标文件的承诺，与中标人签订书面合同。所签订的合同不得对招标文件确定的事项和中标人投标文件作实质性修改。</w:t>
      </w:r>
    </w:p>
    <w:p>
      <w:pPr>
        <w:numPr>
          <w:ilvl w:val="0"/>
          <w:numId w:val="35"/>
        </w:numPr>
        <w:tabs>
          <w:tab w:val="left" w:pos="616"/>
        </w:tabs>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采购人不得向中标人提出任何不合理的要求作为签订合同的条件。</w:t>
      </w:r>
    </w:p>
    <w:p>
      <w:pPr>
        <w:numPr>
          <w:ilvl w:val="0"/>
          <w:numId w:val="35"/>
        </w:numPr>
        <w:tabs>
          <w:tab w:val="left" w:pos="616"/>
        </w:tabs>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5"/>
        </w:numPr>
        <w:tabs>
          <w:tab w:val="left" w:pos="616"/>
        </w:tabs>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5"/>
        </w:numPr>
        <w:tabs>
          <w:tab w:val="left" w:pos="616"/>
        </w:tabs>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5"/>
        </w:numPr>
        <w:tabs>
          <w:tab w:val="left" w:pos="616"/>
        </w:tabs>
        <w:spacing w:line="360" w:lineRule="auto"/>
        <w:ind w:left="616" w:hanging="616"/>
        <w:rPr>
          <w:rFonts w:ascii="宋体" w:hAnsi="宋体" w:eastAsia="宋体" w:cs="宋体"/>
          <w:sz w:val="24"/>
          <w:szCs w:val="20"/>
          <w:lang w:val="zh-CN"/>
        </w:rPr>
      </w:pPr>
      <w:r>
        <w:rPr>
          <w:rFonts w:hint="eastAsia" w:ascii="宋体" w:hAnsi="宋体" w:eastAsia="宋体" w:cs="宋体"/>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4"/>
        </w:numPr>
        <w:spacing w:before="40" w:after="40" w:line="360" w:lineRule="auto"/>
        <w:ind w:left="658" w:hanging="658"/>
        <w:jc w:val="left"/>
        <w:rPr>
          <w:rFonts w:ascii="宋体" w:hAnsi="宋体" w:eastAsia="宋体" w:cs="宋体"/>
          <w:bCs w:val="0"/>
          <w:lang w:val="zh-CN"/>
        </w:rPr>
      </w:pPr>
      <w:bookmarkStart w:id="24" w:name="_Toc495848894"/>
      <w:bookmarkStart w:id="25" w:name="_Toc494561945"/>
      <w:r>
        <w:rPr>
          <w:rFonts w:hint="eastAsia" w:ascii="宋体" w:hAnsi="宋体" w:eastAsia="宋体" w:cs="宋体"/>
          <w:bCs w:val="0"/>
          <w:lang w:val="zh-CN"/>
        </w:rPr>
        <w:t>采购信息公告</w:t>
      </w:r>
      <w:bookmarkEnd w:id="24"/>
      <w:bookmarkEnd w:id="25"/>
    </w:p>
    <w:p>
      <w:pPr>
        <w:numPr>
          <w:ilvl w:val="0"/>
          <w:numId w:val="5"/>
        </w:numPr>
        <w:spacing w:line="360" w:lineRule="auto"/>
        <w:ind w:left="560" w:hanging="560"/>
        <w:rPr>
          <w:rFonts w:ascii="宋体" w:hAnsi="宋体" w:eastAsia="宋体" w:cs="宋体"/>
          <w:b/>
          <w:kern w:val="0"/>
          <w:sz w:val="24"/>
          <w:szCs w:val="24"/>
          <w:lang w:val="zh-CN"/>
        </w:rPr>
      </w:pPr>
      <w:r>
        <w:rPr>
          <w:rFonts w:hint="eastAsia" w:ascii="宋体" w:hAnsi="宋体" w:eastAsia="宋体" w:cs="宋体"/>
          <w:b/>
          <w:kern w:val="0"/>
          <w:sz w:val="24"/>
          <w:szCs w:val="24"/>
          <w:lang w:val="zh-CN"/>
        </w:rPr>
        <w:t>公告的媒体及规定</w:t>
      </w:r>
    </w:p>
    <w:p>
      <w:pPr>
        <w:numPr>
          <w:ilvl w:val="0"/>
          <w:numId w:val="36"/>
        </w:numPr>
        <w:tabs>
          <w:tab w:val="left" w:pos="616"/>
        </w:tabs>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采购代理机构在招标活动中的公告、补充、更正、结果等采购信息均依法在政府采购监管部门指定媒体上（中国湖北政府采购网http://www.ccgp-hubei.gov.cn/）发布。</w:t>
      </w:r>
    </w:p>
    <w:p>
      <w:pPr>
        <w:numPr>
          <w:ilvl w:val="0"/>
          <w:numId w:val="36"/>
        </w:numPr>
        <w:tabs>
          <w:tab w:val="left" w:pos="616"/>
        </w:tabs>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采购代理机构在自中标人确定之日起2个工作日内，在政府采购监管部门指定媒体上公告中标结果，中标公告的公示期为1个工作日。</w:t>
      </w:r>
    </w:p>
    <w:p>
      <w:pPr>
        <w:numPr>
          <w:ilvl w:val="0"/>
          <w:numId w:val="36"/>
        </w:numPr>
        <w:tabs>
          <w:tab w:val="left" w:pos="616"/>
        </w:tabs>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资格审查未通过的供应商可在结果公告质疑有效期内按公告中的联系方式获知本单位的资格审查情况。</w:t>
      </w:r>
    </w:p>
    <w:p>
      <w:pPr>
        <w:numPr>
          <w:ilvl w:val="0"/>
          <w:numId w:val="36"/>
        </w:numPr>
        <w:tabs>
          <w:tab w:val="left" w:pos="616"/>
        </w:tabs>
        <w:spacing w:line="360" w:lineRule="auto"/>
        <w:ind w:left="616" w:hanging="616"/>
        <w:rPr>
          <w:rFonts w:ascii="宋体" w:hAnsi="宋体" w:eastAsia="宋体" w:cs="宋体"/>
          <w:kern w:val="0"/>
          <w:sz w:val="24"/>
          <w:szCs w:val="24"/>
          <w:lang w:val="zh-CN"/>
        </w:rPr>
      </w:pPr>
      <w:r>
        <w:rPr>
          <w:rFonts w:hint="eastAsia" w:ascii="宋体" w:hAnsi="宋体" w:eastAsia="宋体" w:cs="宋体"/>
          <w:kern w:val="0"/>
          <w:sz w:val="24"/>
          <w:szCs w:val="24"/>
          <w:lang w:val="zh-CN"/>
        </w:rPr>
        <w:t>采用综合评分法评审的项目，未中标人可在结果公告质疑有效期内按公告中的联系方式获知本单位的评审得分与排序。</w:t>
      </w:r>
    </w:p>
    <w:p>
      <w:pPr>
        <w:pStyle w:val="3"/>
        <w:numPr>
          <w:ilvl w:val="0"/>
          <w:numId w:val="4"/>
        </w:numPr>
        <w:spacing w:before="40" w:after="40" w:line="360" w:lineRule="auto"/>
        <w:ind w:left="658" w:hanging="658"/>
        <w:jc w:val="left"/>
        <w:rPr>
          <w:rFonts w:ascii="宋体" w:hAnsi="宋体" w:eastAsia="宋体" w:cs="宋体"/>
          <w:bCs w:val="0"/>
          <w:lang w:val="zh-CN"/>
        </w:rPr>
      </w:pPr>
      <w:bookmarkStart w:id="26" w:name="_Toc495848895"/>
      <w:bookmarkStart w:id="27" w:name="_Toc494561946"/>
      <w:r>
        <w:rPr>
          <w:rFonts w:hint="eastAsia" w:ascii="宋体" w:hAnsi="宋体" w:eastAsia="宋体" w:cs="宋体"/>
          <w:bCs w:val="0"/>
          <w:lang w:val="zh-CN"/>
        </w:rPr>
        <w:t>质疑</w:t>
      </w:r>
      <w:bookmarkEnd w:id="22"/>
      <w:bookmarkEnd w:id="23"/>
      <w:r>
        <w:rPr>
          <w:rFonts w:hint="eastAsia" w:ascii="宋体" w:hAnsi="宋体" w:eastAsia="宋体" w:cs="宋体"/>
          <w:bCs w:val="0"/>
          <w:lang w:val="zh-CN"/>
        </w:rPr>
        <w:t>及提交</w:t>
      </w:r>
      <w:bookmarkEnd w:id="26"/>
      <w:bookmarkEnd w:id="27"/>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质疑提交</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供应商认为招标文件、招标过程和中标结果使自己的权益受到损害的，可以在知道或者应知其权益受到损害之日起7个工作日内，向湖北国华招标咨询有限公司提出质疑。</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供应商应知其权益受到损害之日是指：</w:t>
      </w:r>
    </w:p>
    <w:p>
      <w:pPr>
        <w:numPr>
          <w:ilvl w:val="0"/>
          <w:numId w:val="37"/>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对可以质疑的招标文件提出质疑的，为收到招标文件之日或者招标文件公告期限届满之日；</w:t>
      </w:r>
    </w:p>
    <w:p>
      <w:pPr>
        <w:numPr>
          <w:ilvl w:val="0"/>
          <w:numId w:val="37"/>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对招标过程提出质疑的，为各招标程序环节结束之日；</w:t>
      </w:r>
    </w:p>
    <w:p>
      <w:pPr>
        <w:numPr>
          <w:ilvl w:val="0"/>
          <w:numId w:val="37"/>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质疑书应当包括下列主要内容：</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质疑人的名称、地址、联系人及联系电话等；</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被质疑人的名称、地址、联系人及联系电话等；</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质疑项目名称及编号、质疑事项和明确的请求；</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质疑事项的事实根据、法律依据及其他必要的证明材料；</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提出质疑的日期；</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质疑人的署名及签章（质疑人为自然人的，应当由本人签字；质疑人为法人或者其他组织的，应当由法定代表人或者主要负责人签字盖章并加盖公章）；</w:t>
      </w:r>
    </w:p>
    <w:p>
      <w:pPr>
        <w:numPr>
          <w:ilvl w:val="0"/>
          <w:numId w:val="38"/>
        </w:numPr>
        <w:spacing w:line="360" w:lineRule="auto"/>
        <w:ind w:left="616" w:hanging="616"/>
        <w:rPr>
          <w:rFonts w:ascii="宋体" w:hAnsi="宋体" w:eastAsia="宋体" w:cs="宋体"/>
          <w:sz w:val="24"/>
          <w:szCs w:val="20"/>
          <w:lang w:val="zh-CN"/>
        </w:rPr>
      </w:pPr>
      <w:r>
        <w:rPr>
          <w:rFonts w:hint="eastAsia" w:ascii="宋体" w:hAnsi="宋体" w:eastAsia="宋体" w:cs="宋体"/>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宋体"/>
          <w:b/>
          <w:sz w:val="24"/>
          <w:szCs w:val="20"/>
          <w:lang w:val="zh-CN"/>
        </w:rPr>
      </w:pPr>
      <w:r>
        <w:rPr>
          <w:rFonts w:hint="eastAsia" w:ascii="宋体" w:hAnsi="宋体" w:eastAsia="宋体" w:cs="宋体"/>
          <w:b/>
          <w:sz w:val="24"/>
          <w:szCs w:val="20"/>
          <w:lang w:val="zh-CN"/>
        </w:rPr>
        <w:t>不予受理的情形</w:t>
      </w:r>
    </w:p>
    <w:p>
      <w:pPr>
        <w:spacing w:line="360" w:lineRule="auto"/>
        <w:ind w:firstLine="480" w:firstLineChars="200"/>
        <w:rPr>
          <w:rFonts w:ascii="宋体" w:hAnsi="宋体" w:eastAsia="宋体" w:cs="宋体"/>
          <w:sz w:val="24"/>
          <w:szCs w:val="20"/>
          <w:lang w:val="zh-CN"/>
        </w:rPr>
      </w:pPr>
      <w:r>
        <w:rPr>
          <w:rFonts w:hint="eastAsia" w:ascii="宋体" w:hAnsi="宋体" w:eastAsia="宋体" w:cs="宋体"/>
          <w:sz w:val="24"/>
          <w:szCs w:val="20"/>
          <w:lang w:val="zh-CN"/>
        </w:rPr>
        <w:t>供应商未按本章“质疑及提交”规定的时限、内容及方式进行质疑的，采购代理机构不予受理。</w:t>
      </w:r>
    </w:p>
    <w:p>
      <w:pPr>
        <w:pStyle w:val="3"/>
        <w:numPr>
          <w:ilvl w:val="0"/>
          <w:numId w:val="4"/>
        </w:numPr>
        <w:spacing w:before="40" w:after="40" w:line="360" w:lineRule="auto"/>
        <w:ind w:left="658" w:hanging="658"/>
        <w:jc w:val="left"/>
        <w:rPr>
          <w:rFonts w:ascii="宋体" w:hAnsi="宋体" w:eastAsia="宋体" w:cs="宋体"/>
          <w:bCs w:val="0"/>
          <w:lang w:val="zh-CN"/>
        </w:rPr>
      </w:pPr>
      <w:bookmarkStart w:id="28" w:name="_Toc495848896"/>
      <w:bookmarkStart w:id="29" w:name="_Toc494561947"/>
      <w:r>
        <w:rPr>
          <w:rFonts w:hint="eastAsia" w:ascii="宋体" w:hAnsi="宋体" w:eastAsia="宋体" w:cs="宋体"/>
          <w:bCs w:val="0"/>
          <w:lang w:val="zh-CN"/>
        </w:rPr>
        <w:t>相关条文解读</w:t>
      </w:r>
      <w:bookmarkEnd w:id="28"/>
      <w:bookmarkEnd w:id="29"/>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按照财政部《关于规范政府采购行政处罚有关问题的通知》的规定，各级人民政府财政部门依法对参加政府采购活动的供应商作出的禁止参加政府采购活动等行政处罚决定在全国范围内生效。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根据财政部《政府采购法实施条例》释义中关于供应商资格条件的解释，对于银行、保险、石油石化、电力、电信等有行业特殊情况的，采购人和采购代理机构允许其分支机构参与投标。</w:t>
      </w:r>
    </w:p>
    <w:p>
      <w:pPr>
        <w:pStyle w:val="3"/>
        <w:numPr>
          <w:ilvl w:val="0"/>
          <w:numId w:val="4"/>
        </w:numPr>
        <w:spacing w:before="40" w:after="40" w:line="360" w:lineRule="auto"/>
        <w:ind w:left="658" w:hanging="658"/>
        <w:jc w:val="left"/>
        <w:rPr>
          <w:rFonts w:ascii="宋体" w:hAnsi="宋体" w:eastAsia="宋体" w:cs="宋体"/>
          <w:bCs w:val="0"/>
          <w:lang w:val="zh-CN"/>
        </w:rPr>
      </w:pPr>
      <w:bookmarkStart w:id="30" w:name="_Toc494561948"/>
      <w:bookmarkStart w:id="31" w:name="_Toc495848897"/>
      <w:r>
        <w:rPr>
          <w:rFonts w:hint="eastAsia" w:ascii="宋体" w:hAnsi="宋体" w:eastAsia="宋体" w:cs="宋体"/>
          <w:bCs w:val="0"/>
          <w:lang w:val="zh-CN"/>
        </w:rPr>
        <w:t>其他注意事项</w:t>
      </w:r>
      <w:bookmarkEnd w:id="30"/>
      <w:bookmarkEnd w:id="31"/>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除单一来源采购项目外，为采购项目提供整体设计、规范编制或者项目管理、监理、检测等服务的供应商，不得再参加该采购项目的其他采购活动。</w:t>
      </w:r>
    </w:p>
    <w:p>
      <w:pPr>
        <w:pStyle w:val="3"/>
        <w:numPr>
          <w:ilvl w:val="0"/>
          <w:numId w:val="4"/>
        </w:numPr>
        <w:spacing w:before="40" w:after="40" w:line="360" w:lineRule="auto"/>
        <w:ind w:left="966" w:hanging="966"/>
        <w:jc w:val="left"/>
        <w:rPr>
          <w:rFonts w:ascii="宋体" w:hAnsi="宋体" w:eastAsia="宋体" w:cs="宋体"/>
          <w:bCs w:val="0"/>
          <w:lang w:val="zh-CN"/>
        </w:rPr>
      </w:pPr>
      <w:bookmarkStart w:id="32" w:name="_Toc494561949"/>
      <w:bookmarkStart w:id="33" w:name="_Toc278891598"/>
      <w:bookmarkStart w:id="34" w:name="_Toc495848898"/>
      <w:bookmarkStart w:id="35" w:name="_Toc272247701"/>
      <w:r>
        <w:rPr>
          <w:rFonts w:hint="eastAsia" w:ascii="宋体" w:hAnsi="宋体" w:eastAsia="宋体" w:cs="宋体"/>
          <w:bCs w:val="0"/>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sz w:val="24"/>
          <w:szCs w:val="20"/>
          <w:lang w:val="zh-CN"/>
        </w:rPr>
        <w:t>采购人、采购代理机构及供应商的一切招标投标活动均适用《政府采购法》、《政府采购法实施条例》、《政府采购货物和服务招标投标管理办法》及相关法律法规。</w:t>
      </w:r>
    </w:p>
    <w:p>
      <w:pPr>
        <w:numPr>
          <w:ilvl w:val="0"/>
          <w:numId w:val="5"/>
        </w:numPr>
        <w:spacing w:line="360" w:lineRule="auto"/>
        <w:ind w:left="560" w:hanging="560"/>
        <w:rPr>
          <w:rFonts w:ascii="宋体" w:hAnsi="宋体" w:eastAsia="宋体" w:cs="宋体"/>
          <w:sz w:val="24"/>
          <w:szCs w:val="20"/>
          <w:lang w:val="zh-CN"/>
        </w:rPr>
      </w:pPr>
      <w:r>
        <w:rPr>
          <w:rFonts w:hint="eastAsia" w:ascii="宋体" w:hAnsi="宋体" w:eastAsia="宋体" w:cs="宋体"/>
          <w:kern w:val="0"/>
          <w:sz w:val="24"/>
          <w:szCs w:val="24"/>
          <w:lang w:val="zh-CN"/>
        </w:rPr>
        <w:t>政府采购合同的履行、违约责任和解决争议的方法等适用《合同法》。</w:t>
      </w:r>
    </w:p>
    <w:p>
      <w:pPr>
        <w:pStyle w:val="3"/>
        <w:numPr>
          <w:ilvl w:val="0"/>
          <w:numId w:val="4"/>
        </w:numPr>
        <w:spacing w:before="40" w:after="40" w:line="360" w:lineRule="auto"/>
        <w:ind w:left="966" w:hanging="966"/>
        <w:jc w:val="left"/>
        <w:rPr>
          <w:rFonts w:ascii="宋体" w:hAnsi="宋体" w:eastAsia="宋体" w:cs="宋体"/>
          <w:bCs w:val="0"/>
          <w:lang w:val="zh-CN"/>
        </w:rPr>
      </w:pPr>
      <w:bookmarkStart w:id="36" w:name="_Toc494561950"/>
      <w:bookmarkStart w:id="37" w:name="_Toc278891599"/>
      <w:bookmarkStart w:id="38" w:name="_Toc272247702"/>
      <w:bookmarkStart w:id="39" w:name="_Toc495848899"/>
      <w:r>
        <w:rPr>
          <w:rFonts w:hint="eastAsia" w:ascii="宋体" w:hAnsi="宋体" w:eastAsia="宋体" w:cs="宋体"/>
          <w:bCs w:val="0"/>
          <w:lang w:val="zh-CN"/>
        </w:rPr>
        <w:t>招标文件的解释权</w:t>
      </w:r>
      <w:bookmarkEnd w:id="36"/>
      <w:bookmarkEnd w:id="37"/>
      <w:bookmarkEnd w:id="38"/>
      <w:bookmarkEnd w:id="39"/>
    </w:p>
    <w:p>
      <w:pPr>
        <w:numPr>
          <w:ilvl w:val="0"/>
          <w:numId w:val="5"/>
        </w:numPr>
        <w:spacing w:line="360" w:lineRule="auto"/>
        <w:ind w:left="560" w:hanging="560"/>
        <w:rPr>
          <w:rFonts w:ascii="宋体" w:hAnsi="宋体" w:eastAsia="宋体" w:cs="宋体"/>
        </w:rPr>
        <w:sectPr>
          <w:pgSz w:w="11906" w:h="16838"/>
          <w:pgMar w:top="1134" w:right="1191" w:bottom="1134" w:left="1191" w:header="851" w:footer="624" w:gutter="0"/>
          <w:cols w:space="425" w:num="1"/>
          <w:docGrid w:type="linesAndChars" w:linePitch="312" w:charSpace="0"/>
        </w:sectPr>
      </w:pPr>
      <w:r>
        <w:rPr>
          <w:rFonts w:hint="eastAsia" w:ascii="宋体" w:hAnsi="宋体" w:eastAsia="宋体" w:cs="宋体"/>
          <w:sz w:val="24"/>
          <w:szCs w:val="20"/>
          <w:lang w:val="zh-CN"/>
        </w:rPr>
        <w:t>招标文件的最终解释权为采购人、采购代理机构所有。</w:t>
      </w:r>
    </w:p>
    <w:p>
      <w:pPr>
        <w:pStyle w:val="2"/>
        <w:numPr>
          <w:ilvl w:val="0"/>
          <w:numId w:val="1"/>
        </w:numPr>
        <w:jc w:val="center"/>
        <w:rPr>
          <w:rFonts w:ascii="宋体" w:hAnsi="宋体" w:eastAsia="宋体" w:cs="宋体"/>
        </w:rPr>
      </w:pPr>
      <w:bookmarkStart w:id="40" w:name="_Toc495848900"/>
      <w:r>
        <w:rPr>
          <w:rFonts w:hint="eastAsia" w:ascii="宋体" w:hAnsi="宋体" w:eastAsia="宋体" w:cs="宋体"/>
        </w:rPr>
        <w:t>项目技术、服务及商务要求</w:t>
      </w:r>
      <w:bookmarkEnd w:id="40"/>
    </w:p>
    <w:p>
      <w:pPr>
        <w:spacing w:line="480" w:lineRule="auto"/>
        <w:jc w:val="center"/>
        <w:rPr>
          <w:rFonts w:ascii="宋体" w:hAnsi="宋体"/>
          <w:b/>
          <w:color w:val="000000"/>
          <w:sz w:val="28"/>
          <w:szCs w:val="21"/>
        </w:rPr>
      </w:pPr>
      <w:bookmarkStart w:id="41" w:name="_Toc494561956"/>
      <w:bookmarkStart w:id="42" w:name="_Toc495848905"/>
      <w:r>
        <w:rPr>
          <w:rFonts w:hint="eastAsia" w:ascii="宋体" w:hAnsi="宋体"/>
          <w:b/>
          <w:color w:val="000000"/>
          <w:sz w:val="28"/>
          <w:szCs w:val="21"/>
        </w:rPr>
        <w:t>01包：差示扫描量热仪</w:t>
      </w:r>
    </w:p>
    <w:tbl>
      <w:tblPr>
        <w:tblStyle w:val="26"/>
        <w:tblW w:w="9597" w:type="dxa"/>
        <w:tblInd w:w="0" w:type="dxa"/>
        <w:tblLayout w:type="fixed"/>
        <w:tblCellMar>
          <w:top w:w="15" w:type="dxa"/>
          <w:left w:w="15" w:type="dxa"/>
          <w:bottom w:w="15" w:type="dxa"/>
          <w:right w:w="15" w:type="dxa"/>
        </w:tblCellMar>
      </w:tblPr>
      <w:tblGrid>
        <w:gridCol w:w="668"/>
        <w:gridCol w:w="1399"/>
        <w:gridCol w:w="982"/>
        <w:gridCol w:w="6548"/>
      </w:tblGrid>
      <w:tr>
        <w:tblPrEx>
          <w:tblLayout w:type="fixed"/>
          <w:tblCellMar>
            <w:top w:w="15" w:type="dxa"/>
            <w:left w:w="15" w:type="dxa"/>
            <w:bottom w:w="15" w:type="dxa"/>
            <w:right w:w="15" w:type="dxa"/>
          </w:tblCellMar>
        </w:tblPrEx>
        <w:trPr>
          <w:trHeight w:val="850"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Style w:val="42"/>
                <w:rFonts w:hint="default"/>
                <w:sz w:val="21"/>
                <w:szCs w:val="21"/>
                <w:lang w:bidi="ar"/>
              </w:rPr>
              <w:t>序号</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Style w:val="42"/>
                <w:rFonts w:hint="default"/>
                <w:sz w:val="21"/>
                <w:szCs w:val="21"/>
                <w:lang w:bidi="ar"/>
              </w:rPr>
              <w:t>设备名称</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Style w:val="42"/>
                <w:rFonts w:hint="default"/>
                <w:sz w:val="21"/>
                <w:szCs w:val="21"/>
                <w:lang w:bidi="ar"/>
              </w:rPr>
            </w:pPr>
            <w:r>
              <w:rPr>
                <w:rStyle w:val="42"/>
                <w:rFonts w:hint="default"/>
                <w:sz w:val="21"/>
                <w:szCs w:val="21"/>
                <w:lang w:bidi="ar"/>
              </w:rPr>
              <w:t>（套）</w:t>
            </w:r>
          </w:p>
        </w:tc>
        <w:tc>
          <w:tcPr>
            <w:tcW w:w="65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1141" w:hRule="atLeast"/>
        </w:trPr>
        <w:tc>
          <w:tcPr>
            <w:tcW w:w="6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3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差示扫描量热仪</w:t>
            </w:r>
          </w:p>
        </w:tc>
        <w:tc>
          <w:tcPr>
            <w:tcW w:w="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1</w:t>
            </w:r>
          </w:p>
        </w:tc>
        <w:tc>
          <w:tcPr>
            <w:tcW w:w="65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1、仪器配置要求：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 原装DSC主机一台（带至少30位的全自动进样器）；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1.2专业热分析操作软件一套（中英文可切换）；</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1.3 -90℃机械制冷装置一套；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1.4带不锈钢镜面保温和自动增压系统的液氮制冷系统一套（容积≥50L）；</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1.5 DSC加热炉或传感器1套；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1.6操作工具一套，其中包含铟和锌标样各一盒；</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1.7 40μL铝坩埚一盒1000个（带盖，带定位针）；</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1.8 70μL铂坩埚4个，带盖</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1.9坩埚密封压片机一台；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1.10 DELL或联想台式电脑及HP A4黑白激光打印机各一台；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1.11氮气及氧气标准40L钢气瓶各1个，带上海捷锐0.4MPa减压阀。</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2、技术参数及要求：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 温度范围：-150~700℃（液氮冷却）；-90~700℃（机械制冷）；测试温度上限均可达700℃；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*1.2 .温度准确度：≤±0.1℃（铟单点）；≤±0.2℃（铟和锌两点同时）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1.3. 温度精度： ≤±0.02℃；</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1.4 .量热准确度：≤±0.1%（铟标样）；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*1.5.量热精度： ≤±0.05%（铟标样）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1.6 .升温速率：0.02～300℃/min；</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1.7.降温速率：0.02～50℃/min；</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*1.8. DSC传感器：金/金钯热电偶及相当材质，热电偶数量≥100对，耐腐蚀及抗氧化性强，适合氧化诱导期和含卤素材料的测试；传感器允许单独更换。</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1.9量热灵敏度：≤0.02μW</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*1.10 .灵敏度（TAWN定义，可验收指标）：≥55；</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*1.11.分辨率（TAWN定义，可验收指标）：≤0.2；</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1.12最大采集速率：≥50个点/秒</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1.13 .全方位校准技术：通过单次Total校准后，改变加热速率、坩埚类型或吹扫气体等条件时，无需校准，保证结果可靠，提高效率；</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1.14 .配有内置气体控制装置，可以同时连接三种气体，并可以通过软件自动切换两种不同的气体；</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1.15 .气氛：静态或动态；可通过氧化、还原、惰性等气体；</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1.16.压片机：可以对固体、粉末、液体等各种形态样品进行密封；</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*1.17、主机配有6.5寸以上彩色液晶触摸屏终端，可实时显示仪器状态，红外遥感自动开关炉体功能等，并具有在液晶屏上设定方法快捷方式，启动预先定义好的实验。</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*1.18  全自动进样器：30位以上的全自动进样器；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1.19.商用电脑：I5双核处理器、内存4G、硬盘1T、DVD光驱及网络功能，21寸LCD，Win10专业版64位；含3年保修；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 售后服务要求：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 提供免费安装调试和现场操作培训，确保仪器硬件和软件工作正常，并达到规定的各项指标，保证不少于2名操作人员能够独立操作。</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 若随机提供的是英文操作说明书，则还需提供简明中文操作说明书一套（安装调试时提供）。</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3.3保修期不低于贰年。保修期内，免费提供非人为因素损坏的一切维修服务（包括零部件更换等）。质保期外，若需要上门维修，只收取必要的材料费，人工费减免，且材料费需按照列表价的八折给予优惠。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3.4 服务响应时间：在接到维修通知要求后，2小时内响应，给出简单的诊断和解决方法，指导需方排除故障。如无法排除故障，维修人员在二个工作日内到达现场。</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3.5提供2个以上名额的免费培训（差旅费自付，培训免费），地点在厂家的实验室。</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02包：催化裂解实验装置</w:t>
      </w:r>
    </w:p>
    <w:tbl>
      <w:tblPr>
        <w:tblStyle w:val="26"/>
        <w:tblW w:w="9558" w:type="dxa"/>
        <w:tblInd w:w="0" w:type="dxa"/>
        <w:tblLayout w:type="fixed"/>
        <w:tblCellMar>
          <w:top w:w="15" w:type="dxa"/>
          <w:left w:w="15" w:type="dxa"/>
          <w:bottom w:w="15" w:type="dxa"/>
          <w:right w:w="15" w:type="dxa"/>
        </w:tblCellMar>
      </w:tblPr>
      <w:tblGrid>
        <w:gridCol w:w="756"/>
        <w:gridCol w:w="1480"/>
        <w:gridCol w:w="1033"/>
        <w:gridCol w:w="6289"/>
      </w:tblGrid>
      <w:tr>
        <w:tblPrEx>
          <w:tblLayout w:type="fixed"/>
          <w:tblCellMar>
            <w:top w:w="15" w:type="dxa"/>
            <w:left w:w="15" w:type="dxa"/>
            <w:bottom w:w="15" w:type="dxa"/>
            <w:right w:w="15" w:type="dxa"/>
          </w:tblCellMar>
        </w:tblPrEx>
        <w:trPr>
          <w:trHeight w:val="844"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6"/>
                <w:rFonts w:ascii="宋体" w:hAnsi="宋体" w:eastAsia="宋体" w:cs="宋体"/>
                <w:sz w:val="21"/>
                <w:szCs w:val="21"/>
                <w:lang w:bidi="ar"/>
              </w:rPr>
            </w:pPr>
            <w:r>
              <w:rPr>
                <w:rStyle w:val="42"/>
                <w:rFonts w:hint="default"/>
                <w:sz w:val="21"/>
                <w:szCs w:val="21"/>
                <w:lang w:bidi="ar"/>
              </w:rPr>
              <w:t>设备名称</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2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6"/>
                <w:rFonts w:ascii="宋体" w:hAnsi="宋体" w:eastAsia="宋体" w:cs="宋体"/>
                <w:sz w:val="21"/>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2041" w:hRule="atLeast"/>
        </w:trPr>
        <w:tc>
          <w:tcPr>
            <w:tcW w:w="7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催化裂解实验装置</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6"/>
                <w:rFonts w:ascii="宋体" w:hAnsi="宋体" w:eastAsia="宋体" w:cs="宋体"/>
                <w:sz w:val="21"/>
                <w:szCs w:val="21"/>
                <w:lang w:bidi="ar"/>
              </w:rPr>
            </w:pPr>
            <w:r>
              <w:rPr>
                <w:rFonts w:hint="eastAsia" w:ascii="宋体" w:hAnsi="宋体" w:eastAsia="宋体" w:cs="宋体"/>
                <w:color w:val="000000"/>
                <w:kern w:val="0"/>
                <w:szCs w:val="21"/>
                <w:lang w:bidi="ar"/>
              </w:rPr>
              <w:t>1</w:t>
            </w:r>
          </w:p>
        </w:tc>
        <w:tc>
          <w:tcPr>
            <w:tcW w:w="62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 能与我校实验室现有的GC-MS设备相连使用；</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2 可升级48位自动进样，可升级聚合物裂解谱库；</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3 配备：1年消耗品，样品杯、石英裂解管；</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4 传输针温度：自动或手动控制；</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5 温度实时监视，校正；</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6 重现性：聚苯乙烯样品，在550℃裂解得到的三聚体(SSS)和硬脂酸甲酯(Me-Ste)峰面积比值的RSD≤2%；</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7 EGA重现性：聚苯乙烯EGA峰最高点温度：RSD≤0.3%；</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8 裂解前样品温度：＜40</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9 加热区温度：室温+10～1050℃ (1</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步进)，控温精度±0.1</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，陶瓷圆筒 (500W)；</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10 多层去活进样接口，使用温度450</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，确保无冷点；</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11 加热过热保护：加热炉1100</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，进样接口500</w:t>
            </w:r>
            <w:r>
              <w:rPr>
                <w:rStyle w:val="46"/>
                <w:rFonts w:hint="eastAsia" w:ascii="宋体" w:hAnsi="宋体" w:eastAsia="宋体" w:cs="宋体"/>
                <w:color w:val="FF0000"/>
                <w:sz w:val="21"/>
                <w:szCs w:val="21"/>
                <w:lang w:bidi="ar"/>
              </w:rPr>
              <w:t>℃</w:t>
            </w:r>
            <w:r>
              <w:rPr>
                <w:rStyle w:val="46"/>
                <w:rFonts w:hint="eastAsia" w:ascii="宋体" w:hAnsi="宋体" w:eastAsia="宋体" w:cs="宋体"/>
                <w:sz w:val="21"/>
                <w:szCs w:val="21"/>
                <w:lang w:bidi="ar"/>
              </w:rPr>
              <w:t>；</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12 裂解时间：0.1～999.9 min (0.1 min步进)；</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13 适用样品类型：固体/液体；</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14 裂解时间：样品杯进样后小于20msec瞬间裂解；</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15 全流路无阀设计，避免样品损失及交叉污染；</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16 配置专用于裂解的超合金毛细柱，更高使用温度，更低柱流失；</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17 终身维修，质保期不低于伍年。质保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Style w:val="46"/>
                <w:rFonts w:ascii="宋体" w:hAnsi="宋体" w:eastAsia="宋体" w:cs="宋体"/>
                <w:sz w:val="21"/>
                <w:szCs w:val="21"/>
                <w:lang w:bidi="ar"/>
              </w:rPr>
            </w:pPr>
            <w:r>
              <w:rPr>
                <w:rStyle w:val="46"/>
                <w:rFonts w:hint="eastAsia" w:ascii="宋体" w:hAnsi="宋体" w:eastAsia="宋体" w:cs="宋体"/>
                <w:sz w:val="21"/>
                <w:szCs w:val="21"/>
                <w:lang w:bidi="ar"/>
              </w:rPr>
              <w:t>18 提供免费现场安装、调试和现场操作培训，确保仪器硬件和软件工作正常，并达到规定的各项指标，保证不少于2名操作人员能够独立操作。</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03包：高通量微波消解/萃取工作站</w:t>
      </w:r>
    </w:p>
    <w:tbl>
      <w:tblPr>
        <w:tblStyle w:val="26"/>
        <w:tblW w:w="9547" w:type="dxa"/>
        <w:tblInd w:w="0" w:type="dxa"/>
        <w:tblLayout w:type="fixed"/>
        <w:tblCellMar>
          <w:top w:w="15" w:type="dxa"/>
          <w:left w:w="15" w:type="dxa"/>
          <w:bottom w:w="15" w:type="dxa"/>
          <w:right w:w="15" w:type="dxa"/>
        </w:tblCellMar>
      </w:tblPr>
      <w:tblGrid>
        <w:gridCol w:w="626"/>
        <w:gridCol w:w="1426"/>
        <w:gridCol w:w="1050"/>
        <w:gridCol w:w="6445"/>
      </w:tblGrid>
      <w:tr>
        <w:tblPrEx>
          <w:tblLayout w:type="fixed"/>
          <w:tblCellMar>
            <w:top w:w="15" w:type="dxa"/>
            <w:left w:w="15" w:type="dxa"/>
            <w:bottom w:w="15" w:type="dxa"/>
            <w:right w:w="15" w:type="dxa"/>
          </w:tblCellMar>
        </w:tblPrEx>
        <w:trPr>
          <w:trHeight w:val="657"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设备名称</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3586"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高通量微波消解</w:t>
            </w:r>
            <w:r>
              <w:rPr>
                <w:rFonts w:ascii="宋体" w:hAnsi="宋体" w:eastAsia="宋体" w:cs="宋体"/>
                <w:color w:val="000000"/>
                <w:szCs w:val="21"/>
              </w:rPr>
              <w:t>/</w:t>
            </w:r>
            <w:r>
              <w:rPr>
                <w:rFonts w:hint="eastAsia" w:ascii="宋体" w:hAnsi="宋体" w:eastAsia="宋体" w:cs="宋体"/>
                <w:color w:val="000000"/>
                <w:szCs w:val="21"/>
              </w:rPr>
              <w:t>萃取工作站</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64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1.主机性能</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1.1、微波频率：2450MHz。</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*1.2、采用非脉冲微波功率自动变频控制技术，微波功率随反应温度和压力精确闭环控制，整机安装功率1800W，微波最大输出功率1300W。满足≥12个消解罐消解\萃取工作。</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1.3、微波炉腔：工业级专用微波炉腔，微波聚焦设计使加热更高效，多重PFA特氟隆防腐涂层，确保炉腔长期抵御各种酸气和溶剂腐蚀。</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*1.4、防爆安全炉门：六层钢结构自弹出防爆缓冲AUTO-POP设计，炉门采用双重锁定自检系统，顶部按压式，操作轻松简便。</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1.5、温度、压力双重控制系统，并且同时控制。可选择温度为主控参数或压力为主控参数。反应过程中不管是温度\压力值超过设定值，仪器都能自动调整微波输出功率，有效防止爆罐。</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1.6、主控罐温度控制系统：插入式高精度铂电阻温度传感，测温范围：0-350℃, 控制精度±0.1℃，显示精度±1℃。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*1.7、主控罐压力控制系统：压电晶体压力传感，控压范围：0-15MPa ，控制精度±0.01MPa，显示精度±0.1MPa。测压元件不和样品直接接触，克服了导气管测压承压低，易污染的缺陷。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*1.8、全罐压力监控系统：顶部安全泄压片(Safety Bolt)设计定量“切割”控制，超压自动泄压，定量值可调，垂直爆破泄压结构。</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*1.9、消解转子360°连续旋转技术：温压测控装置和消解罐随转盘同方向同步旋转Uni-Turn技术，无需360度来回旋转，旋转过程中无停顿，保证微波加热均匀性；</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1.10、5寸彩页液晶屏，实时显示：压力、温度、时间、微波功率以及工步等，直观呈现仪器工作过程。</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*1.11、Windows软件控制，既可连接电脑远程控制又可直接面板操作。可存储无限量消解方案，消解过程数据可导出保存。</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*1.12、可视监控系统（选配）：高清摄像实时监测炉腔内反应过程，普通手机及平板电脑即可无线连接进行远程观察控制。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*1.13、消解罐设计无需使用防爆膜等耗材，后续使用费用低。</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1.14、排风系统：大功率防腐蚀离心式风机，15分钟从200℃降到60℃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1.15、本产品通过ISO9001：2008和欧盟安全CE认证。</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2.罐联体消解转子性能</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2.1最大批处理样品数：12</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*2.2消解转子结构：高强度合金转盘一体框架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*2.3样品反应罐外罐：宇航复合纤维材料（Xtra Fiber）防爆外罐。耐压10000psi，耐温600℃，物理性能及耐腐蚀性能优于传统改性PEEK材料</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2.4样品反应罐内罐：进口TFM材料</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2.5每个反应罐容积：100ml</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*2.6最高设计压力：15 Mpa</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2.7最高工作压力：6MPa（提供检测报告）</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2.7最高设计温度：300℃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3.赶酸器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3.1控温范围：室温+5℃~240℃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3.2控温精度：±1℃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3.3加热方式：铸铝式深孔加热</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3.4处理能力：12个/批</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3.5采用4.3寸彩色液晶显示屏。炉内温度连续可调，可控温度恒定，仪器操作简单。</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3.6整机表面耐强酸强碱腐蚀。</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3.7整机具有过压、过流、过热等多重保护。</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3.8采用深孔加热，加快赶酸进度，防止酸气冷凝造成实验时间过长。</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3.9电源：AC220V±10%  50HZ</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3.10额定功率：1600W</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4.配置：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3.1 JUPITER（丘比特）系列密闭式高通量微波消解/萃取工作站1台；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3.2压电晶体压力传感器1套（已装在罐架上） 1 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3.3高精度铂电阻温度传感器 1 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3.4 JK-100高压微波反应罐 10 套（其中：温压双控主控罐 1 套，宇航复合纤维外罐 10 套，微波反应内罐总成（TFM） 20 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3.5可装载12罐高强度合金消解转子框架（带压电晶体传感器）1 副；</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3.6 12孔溶样杯架 1 个；</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3.7工具盒（其他附件若干） 1个；</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3.8固定力矩操作工具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3.9赶酸仪（12孔，TK12） 1台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4、售后服务</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4.1 在武汉市内设有厂家服务机构并应有常驻售后服务工程师。质保期后，保证长期供应零备件和正常的售后服务，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4.2 故障服务：仪器设备出现故障时，供货方得到通知1个工作日内派维修人员到达用户现场维修；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4.3终身维护，质保期不低于伍年。质保期内，免费提供非人为因素损坏的一切维修服务（包括零部件更换等）。质保期外，若需要上门维修，只收取必要的材料费，人工费减免，只收取配件成本费；</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4.4提供免费现场安装、调试和现场操作培训，确保仪器硬件和软件工作正常，并达到规定的各项指标，保证不少于2名操作人员能够独立操作。</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5、技术资料</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5.1投标时提供：微波主机CE认证书复印件。制造企业的ISO9001认证证书复印件。制造企业软件认定证书复印件，微波主机软件著作权证书复印件。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5.2 供货时提供：仪器说明书，仪器的使用规程。</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04包：万能拉力机</w:t>
      </w:r>
    </w:p>
    <w:tbl>
      <w:tblPr>
        <w:tblStyle w:val="26"/>
        <w:tblW w:w="9558" w:type="dxa"/>
        <w:tblInd w:w="0" w:type="dxa"/>
        <w:tblLayout w:type="fixed"/>
        <w:tblCellMar>
          <w:top w:w="15" w:type="dxa"/>
          <w:left w:w="15" w:type="dxa"/>
          <w:bottom w:w="15" w:type="dxa"/>
          <w:right w:w="15" w:type="dxa"/>
        </w:tblCellMar>
      </w:tblPr>
      <w:tblGrid>
        <w:gridCol w:w="775"/>
        <w:gridCol w:w="1481"/>
        <w:gridCol w:w="994"/>
        <w:gridCol w:w="6308"/>
      </w:tblGrid>
      <w:tr>
        <w:tblPrEx>
          <w:tblLayout w:type="fixed"/>
          <w:tblCellMar>
            <w:top w:w="15" w:type="dxa"/>
            <w:left w:w="15" w:type="dxa"/>
            <w:bottom w:w="15" w:type="dxa"/>
            <w:right w:w="15" w:type="dxa"/>
          </w:tblCellMar>
        </w:tblPrEx>
        <w:trPr>
          <w:trHeight w:val="1089" w:hRule="atLeast"/>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设备名称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3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1576" w:hRule="atLeast"/>
        </w:trPr>
        <w:tc>
          <w:tcPr>
            <w:tcW w:w="7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万能拉力机</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63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试验机由高质量的主机机架、试验夹具和附件系统等配置组成。</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产品技术参数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测量参数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最大试验力: 10  kN；</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试验机级别：0.5级；</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试验力测量范围：0.4%～100%F.S（最大负荷）；</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试验力示值误差：示值的±0.5%以内；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*试验力分辨力：最大试验力的1/±500000（全程分辨力不变）；</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位移示值误差：示值的±0.5%以内；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位移分辨率：0.04μm；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 xml:space="preserve">变形测量范围：0.2%～100%FS（满量程）； </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变形示值误差：示值的±0.5%以内；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*变形分辨力：最大变形量的1/±500000；</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大变形测量范围：10～800mm；（如配大变形测量装置；标距:10 mm \20 mm \25 mm \50 mm）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大变形示值误差：示值的±0.5%以内；（如配大变形测量装置）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大变形测量分辨力：0.008mm；（如配大变形测量装置）</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*控制器数据采样速率：1000HZ(用户可任意设定)</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*控制器闭环控制速率：1000Hz(用户可任意设定)</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*单通道控制环频率：不低于1000点/秒</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*单通道采样速度：不低于1000点/秒</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控制参数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应力控制速率范围：0.005～5%FS/s；</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应力控制速率精度：</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速率＜0.05%FS/s时，为设定值的±2%以内，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速率≥0.05%FS/s时，为设定值的±0.5%以内；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应变控制速率范围：0.005～5%FS/s；</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应变控制速率精度：</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速率＜0.05%FS/s时，为设定值的±2%以内，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速率≥0.05%FS/s时，为设定值的±0.5%以内；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位移控制速率范围：0.001～500mm/min；</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位移控制速率精度：</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速率＜0.5mm/min时，为设定值的±1%以内，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速率≥0.5mm/min，为设定值的±0.2%以内。</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主机参数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*试验宽度： 395mm；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*试验空间(上,下夹具接头插销中心距离)：1100 mm；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*可以与已有夹具配套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*电压 220V/50Hz±10%；功率1000W；</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主机重量：约 250kg。</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1.配置清单：</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2.微机控制电子万能试验机主机 1台</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3.控制系统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4.测控软件（含断裂功）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5.数显液晶手控盒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6.美国加挂传感器50ON         2套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7.胶粘剂拉伸夹具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8.薄膜橡胶拉伸夹具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9.弯曲夹具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10.压缩夹具Φ100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11.大变形测量装置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12.纤维测量装置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13.电脑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14.随机资料若干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15.随机工具                    1套</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（需提供生产厂家的彩页资料，UTM制造计量器具许可证，UTM型式批准证，ISO9001质量体系认证，CE认证及售后服务承诺书等证明材料并需加盖生产厂家公章，带*号参数必须满足）</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服务要求：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质保期不低于伍年。质保期内，免费提供非人为因素损坏的一切维修服务（包括零部件更换等）。质保期外，若需要上门维修，只收取必要的材料费，人工费减免，且材料费需按照列表价的八折给予优惠。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提供免费现场安装、调试和现场操作培训，确保仪器硬件和软件工作正常，并达到规定的各项指标，保证不少于2名操作人员能够独立操作。</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05包：LED光源系统</w:t>
      </w:r>
    </w:p>
    <w:tbl>
      <w:tblPr>
        <w:tblStyle w:val="26"/>
        <w:tblW w:w="9522" w:type="dxa"/>
        <w:tblInd w:w="0" w:type="dxa"/>
        <w:tblLayout w:type="fixed"/>
        <w:tblCellMar>
          <w:top w:w="15" w:type="dxa"/>
          <w:left w:w="15" w:type="dxa"/>
          <w:bottom w:w="15" w:type="dxa"/>
          <w:right w:w="15" w:type="dxa"/>
        </w:tblCellMar>
      </w:tblPr>
      <w:tblGrid>
        <w:gridCol w:w="794"/>
        <w:gridCol w:w="1462"/>
        <w:gridCol w:w="994"/>
        <w:gridCol w:w="6272"/>
      </w:tblGrid>
      <w:tr>
        <w:tblPrEx>
          <w:tblLayout w:type="fixed"/>
          <w:tblCellMar>
            <w:top w:w="15" w:type="dxa"/>
            <w:left w:w="15" w:type="dxa"/>
            <w:bottom w:w="15" w:type="dxa"/>
            <w:right w:w="15" w:type="dxa"/>
          </w:tblCellMar>
        </w:tblPrEx>
        <w:trPr>
          <w:trHeight w:val="763" w:hRule="atLeast"/>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设备名称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1456" w:hRule="atLeast"/>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LED光源系统</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62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包含光源和反应箱体两部分</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光源的技术参数如下：</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 峰值波长365nm，半波带宽15-20nm；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 总输入功率180W，AC220V，±0.01%；</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3) LED功耗</w:t>
            </w:r>
            <w:r>
              <w:rPr>
                <w:rFonts w:hint="eastAsia" w:ascii="宋体" w:hAnsi="宋体" w:eastAsia="宋体" w:cs="宋体"/>
                <w:color w:val="000000"/>
                <w:szCs w:val="21"/>
              </w:rPr>
              <w:tab/>
            </w:r>
            <w:r>
              <w:rPr>
                <w:rFonts w:hint="eastAsia" w:ascii="宋体" w:hAnsi="宋体" w:eastAsia="宋体" w:cs="宋体"/>
                <w:color w:val="000000"/>
                <w:szCs w:val="21"/>
              </w:rPr>
              <w:t>0～100W，DC38V，±0.01%；光输出功率20W（±0.1%），并可自动校正输出功率；</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4) 光输出面积：出光口60mm直径光斑，辐照不均匀度&lt;5%</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5) 光功率密度： 0～50mw/cm2；</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6) 最少使用寿命10000小时；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7) 控制模式：数显控制，软件远程控制；</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8) 配置转向镜头90°转向，可配置各种滤光片，与氙灯、汞灯转向头、滤光片通用；</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9) 灯头尺寸：215*146*140mm；电源尺寸：335*183*250mm</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光化学反应箱体的技术参数如下：</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含通风散热，内置支撑夹具，内置开关控制，防紫外线视窗，规格尺寸 400mm长*400mm宽*700mm高；</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服务要求：</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1）终身维修，质保期不低于伍年。质保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Fonts w:ascii="宋体" w:hAnsi="宋体" w:eastAsia="宋体" w:cs="宋体"/>
                <w:color w:val="000000"/>
                <w:szCs w:val="21"/>
              </w:rPr>
            </w:pPr>
            <w:r>
              <w:rPr>
                <w:rFonts w:hint="eastAsia" w:ascii="宋体" w:hAnsi="宋体" w:eastAsia="宋体" w:cs="宋体"/>
                <w:color w:val="000000"/>
                <w:szCs w:val="21"/>
              </w:rPr>
              <w:t>2）提供免费现场安装、调试和现场操作培训，确保仪器硬件和软件工作正常，并达到规定的各项指标，保证不少于2名操作人员能够独立操作。</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06包：固定流化床催化裂化实验</w:t>
      </w:r>
    </w:p>
    <w:tbl>
      <w:tblPr>
        <w:tblStyle w:val="26"/>
        <w:tblW w:w="9583" w:type="dxa"/>
        <w:tblInd w:w="0" w:type="dxa"/>
        <w:tblLayout w:type="fixed"/>
        <w:tblCellMar>
          <w:top w:w="15" w:type="dxa"/>
          <w:left w:w="15" w:type="dxa"/>
          <w:bottom w:w="15" w:type="dxa"/>
          <w:right w:w="15" w:type="dxa"/>
        </w:tblCellMar>
      </w:tblPr>
      <w:tblGrid>
        <w:gridCol w:w="626"/>
        <w:gridCol w:w="1444"/>
        <w:gridCol w:w="1031"/>
        <w:gridCol w:w="6482"/>
      </w:tblGrid>
      <w:tr>
        <w:tblPrEx>
          <w:tblLayout w:type="fixed"/>
          <w:tblCellMar>
            <w:top w:w="15" w:type="dxa"/>
            <w:left w:w="15" w:type="dxa"/>
            <w:bottom w:w="15" w:type="dxa"/>
            <w:right w:w="15" w:type="dxa"/>
          </w:tblCellMar>
        </w:tblPrEx>
        <w:trPr>
          <w:trHeight w:val="808"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设备名称</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3633"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固定流化床催化裂化实验</w:t>
            </w:r>
          </w:p>
        </w:tc>
        <w:tc>
          <w:tcPr>
            <w:tcW w:w="10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64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实验装置由二路构成，一路线气体，一路液体。气路含质量流量计，过滤器、调节阀、压力、温度传感器及控制仪表，液路由计量泵打入预热器气化后与气体混合后进入后面催化反应器发生催化反应。预热器温度可达800℃，催化反应器的加热温度可达1000℃，上述温度均可控可调；催化反应器催化剂装填量可调（最大装填量可达50g），反应器压力可达5MPa以内。</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服务要求：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终身维护，质保期不低于伍年。质保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提供免费现场安装、调试和现场操作培训，确保仪器硬件和软件工作正常，并达到规定的各项指标，保证不少于2名操作人员能够独立操作。</w:t>
            </w:r>
          </w:p>
        </w:tc>
      </w:tr>
    </w:tbl>
    <w:p>
      <w:pPr>
        <w:spacing w:line="480" w:lineRule="auto"/>
        <w:jc w:val="center"/>
        <w:rPr>
          <w:rFonts w:ascii="宋体" w:hAnsi="宋体"/>
          <w:b/>
          <w:color w:val="000000"/>
          <w:sz w:val="28"/>
          <w:szCs w:val="21"/>
        </w:rPr>
      </w:pPr>
      <w:r>
        <w:rPr>
          <w:rFonts w:hint="eastAsia" w:ascii="宋体" w:hAnsi="宋体"/>
          <w:szCs w:val="21"/>
        </w:rPr>
        <w:br w:type="page"/>
      </w:r>
      <w:r>
        <w:rPr>
          <w:rFonts w:hint="eastAsia" w:ascii="宋体" w:hAnsi="宋体"/>
          <w:b/>
          <w:color w:val="000000"/>
          <w:sz w:val="28"/>
          <w:szCs w:val="21"/>
        </w:rPr>
        <w:t>07包：高效液相色谱仪</w:t>
      </w:r>
    </w:p>
    <w:tbl>
      <w:tblPr>
        <w:tblStyle w:val="26"/>
        <w:tblW w:w="9547" w:type="dxa"/>
        <w:tblInd w:w="0" w:type="dxa"/>
        <w:tblLayout w:type="fixed"/>
        <w:tblCellMar>
          <w:top w:w="15" w:type="dxa"/>
          <w:left w:w="15" w:type="dxa"/>
          <w:bottom w:w="15" w:type="dxa"/>
          <w:right w:w="15" w:type="dxa"/>
        </w:tblCellMar>
      </w:tblPr>
      <w:tblGrid>
        <w:gridCol w:w="794"/>
        <w:gridCol w:w="1462"/>
        <w:gridCol w:w="994"/>
        <w:gridCol w:w="6297"/>
      </w:tblGrid>
      <w:tr>
        <w:tblPrEx>
          <w:tblLayout w:type="fixed"/>
          <w:tblCellMar>
            <w:top w:w="15" w:type="dxa"/>
            <w:left w:w="15" w:type="dxa"/>
            <w:bottom w:w="15" w:type="dxa"/>
            <w:right w:w="15" w:type="dxa"/>
          </w:tblCellMar>
        </w:tblPrEx>
        <w:trPr>
          <w:trHeight w:val="864" w:hRule="atLeast"/>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序号</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设备名称</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42"/>
                <w:rFonts w:hint="default"/>
                <w:sz w:val="21"/>
                <w:szCs w:val="21"/>
                <w:lang w:bidi="ar"/>
              </w:rPr>
            </w:pPr>
            <w:r>
              <w:rPr>
                <w:rStyle w:val="42"/>
                <w:rFonts w:hint="default"/>
                <w:sz w:val="21"/>
                <w:szCs w:val="21"/>
                <w:lang w:bidi="ar"/>
              </w:rPr>
              <w:t>数量</w:t>
            </w:r>
          </w:p>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（套）</w:t>
            </w:r>
          </w:p>
        </w:tc>
        <w:tc>
          <w:tcPr>
            <w:tcW w:w="62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Style w:val="42"/>
                <w:rFonts w:hint="default"/>
                <w:sz w:val="21"/>
                <w:szCs w:val="21"/>
                <w:lang w:bidi="ar"/>
              </w:rPr>
              <w:t>主要技术参数</w:t>
            </w:r>
          </w:p>
        </w:tc>
      </w:tr>
      <w:tr>
        <w:tblPrEx>
          <w:tblLayout w:type="fixed"/>
          <w:tblCellMar>
            <w:top w:w="15" w:type="dxa"/>
            <w:left w:w="15" w:type="dxa"/>
            <w:bottom w:w="15" w:type="dxa"/>
            <w:right w:w="15" w:type="dxa"/>
          </w:tblCellMar>
        </w:tblPrEx>
        <w:trPr>
          <w:trHeight w:val="5175" w:hRule="atLeast"/>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Cs w:val="21"/>
              </w:rPr>
            </w:pPr>
            <w:r>
              <w:rPr>
                <w:rFonts w:hint="eastAsia" w:ascii="宋体" w:hAnsi="宋体" w:eastAsia="宋体" w:cs="宋体"/>
                <w:b w:val="0"/>
                <w:color w:val="000000"/>
                <w:kern w:val="0"/>
                <w:sz w:val="21"/>
                <w:szCs w:val="21"/>
                <w:lang w:bidi="ar"/>
              </w:rPr>
              <w:t>高效液相色谱仪</w:t>
            </w:r>
          </w:p>
        </w:tc>
        <w:tc>
          <w:tcPr>
            <w:tcW w:w="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629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*1.1液相色谱系统，包流动相瓶、四元梯度泵（内置4通道脱气系统）、自动进样器，多柱位柱温箱、紫外检测器。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*1.2流路须采用镀金接口工艺，耐高压、耐磨损，可手旋拆卸，零死体积。</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1.3四元泵</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*1.3.1流量范围：0.001~10.000 mL/min，步进0.001 mL/min</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*1.3.2最大压力：&gt;60Mpa</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*1.3.3流量准确度：&lt;0.1%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1.3.4流量精密度：&lt;0.05%</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1.3.5 梯度混合精确度：&lt; 0.15%</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*1.3.6 溶剂种类：4种</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*1.3.7泵清洗系统：主动式单独流路清洗柱塞</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*1.3.8液滴计数器：自动监控泵漏液情况和泵清洗液情况</w:t>
            </w:r>
          </w:p>
          <w:p>
            <w:pPr>
              <w:widowControl/>
              <w:jc w:val="left"/>
              <w:textAlignment w:val="center"/>
              <w:rPr>
                <w:rFonts w:ascii="宋体" w:hAnsi="宋体" w:eastAsia="宋体" w:cs="宋体"/>
                <w:color w:val="000000"/>
                <w:kern w:val="0"/>
                <w:szCs w:val="21"/>
                <w:lang w:bidi="ar"/>
              </w:rPr>
            </w:pP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  自动进样器：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1.4.1 兼容孔板及常规样品瓶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1.4.2 进样方式：无样品损失，无残留</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1.4.3 进样体积：0.01~100μL</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*1.4.4 进样体积准确度：0.5%</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*1.4.5 交叉污染：0.004%</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*1.4.6自动防沉淀振摇及侧移功能</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*1.4.7 在线稀释和在线衍生功能</w:t>
            </w:r>
          </w:p>
          <w:p>
            <w:pPr>
              <w:widowControl/>
              <w:jc w:val="left"/>
              <w:textAlignment w:val="center"/>
              <w:rPr>
                <w:rFonts w:ascii="宋体" w:hAnsi="宋体" w:eastAsia="宋体" w:cs="宋体"/>
                <w:color w:val="000000"/>
                <w:kern w:val="0"/>
                <w:szCs w:val="21"/>
                <w:lang w:bidi="ar"/>
              </w:rPr>
            </w:pP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  柱温箱</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*1.5.1安全性能：具备防止误开门功能，内置温度、湿度、气体传感器，在线监测泄露情况。</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*1.5.2温控范围：5~80℃</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*1.5.3温度准确度：±0.5℃</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*1.5.4温度稳定性  ±0.1℃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1.5.5温度精度    ±0.1℃</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*1.5.6容量：最多12支色谱柱    </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*1.5.7预留额外的六通阀或十通阀位置，可用于在线样品前处理等应用</w:t>
            </w:r>
          </w:p>
          <w:p>
            <w:pPr>
              <w:widowControl/>
              <w:jc w:val="left"/>
              <w:textAlignment w:val="center"/>
              <w:rPr>
                <w:rFonts w:ascii="宋体" w:hAnsi="宋体" w:eastAsia="宋体" w:cs="宋体"/>
                <w:color w:val="000000"/>
                <w:kern w:val="0"/>
                <w:szCs w:val="21"/>
                <w:lang w:bidi="ar"/>
              </w:rPr>
            </w:pP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  紫外检测器：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*1.6.1频带宽度：6 nm at 254 nm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1.6.2 波长范围：190-900 nm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*1.6.3 波长精确度：±0.1 nm</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1.6.4灯：氘灯、钨灯，均具温度监控功能，自动识别包括序列号在内的所有信息</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*1.6.5 最大数据采集频率：200HZ</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*1.6.6 自动校正：D-alpha线法自校正，氧化钬滤光器验证</w:t>
            </w:r>
          </w:p>
          <w:p>
            <w:pPr>
              <w:widowControl/>
              <w:jc w:val="left"/>
              <w:textAlignment w:val="center"/>
              <w:rPr>
                <w:rFonts w:ascii="宋体" w:hAnsi="宋体" w:eastAsia="宋体" w:cs="宋体"/>
                <w:color w:val="000000"/>
                <w:kern w:val="0"/>
                <w:szCs w:val="21"/>
                <w:lang w:bidi="ar"/>
              </w:rPr>
            </w:pP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1.7</w:t>
            </w:r>
            <w:r>
              <w:rPr>
                <w:rFonts w:hint="eastAsia" w:ascii="宋体" w:hAnsi="宋体" w:eastAsia="宋体" w:cs="宋体"/>
                <w:color w:val="000000"/>
                <w:kern w:val="0"/>
                <w:szCs w:val="21"/>
                <w:lang w:bidi="ar"/>
              </w:rPr>
              <w:tab/>
            </w:r>
            <w:r>
              <w:rPr>
                <w:rFonts w:hint="eastAsia" w:ascii="宋体" w:hAnsi="宋体" w:eastAsia="宋体" w:cs="宋体"/>
                <w:color w:val="000000"/>
                <w:kern w:val="0"/>
                <w:szCs w:val="21"/>
                <w:lang w:bidi="ar"/>
              </w:rPr>
              <w:t xml:space="preserve"> 软件:</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*1.7.1操作系统:可兼容Windows XP和windows Vista</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1.7.2色谱控制分析数据库:通过高性能USB方式和电脑进行数字信号传输,可编制分析方式和顺序，兼容Microsoft Access、Oracle、Microsoft SQL Server多种数据库平台。</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1.7.3可自动进行快速数据采集和后处理.</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1.7.4可提供适时分析条件参数和分析结果，在线监测和采集泵压力变化数据。</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1.7.5具有仪器相关数据与运行状况溯源功能，方便故障排查。</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1.7.6 可通过升级兼容第三方仪器，操控包括气相色谱，离子色谱等第三方仪器公司仪器</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1.7.7 可使用PDF、EXCEL等格式输出实验结果。实验数据编辑相关操作为EXCEL式操作，运算灵活，修改方便。</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服务要求：</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质保期不低于贰年。质保期内，免费提供非人为因素损坏的一切维修服务（包括零部件更换等）。质保期外，若需要上门维修，只收取必要的材料费，人工费减免，且材料费需按照列表价的八折给予优惠。</w:t>
            </w:r>
          </w:p>
          <w:p>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提供免费现场安装、调试和现场操作培训，确保仪器硬件和软件工作正常，并达到规定的各项指标，保证不少于2名操作人员能够独立操作。</w:t>
            </w:r>
          </w:p>
        </w:tc>
      </w:tr>
    </w:tbl>
    <w:p>
      <w:pPr>
        <w:pStyle w:val="31"/>
        <w:spacing w:line="480" w:lineRule="exact"/>
        <w:ind w:right="436" w:rightChars="208" w:firstLine="210" w:firstLineChars="100"/>
        <w:rPr>
          <w:rFonts w:ascii="宋体" w:hAnsi="宋体"/>
          <w:szCs w:val="21"/>
        </w:rPr>
      </w:pPr>
    </w:p>
    <w:p>
      <w:pPr>
        <w:spacing w:line="360" w:lineRule="auto"/>
        <w:ind w:firstLine="480" w:firstLineChars="200"/>
        <w:jc w:val="left"/>
        <w:rPr>
          <w:rFonts w:ascii="宋体" w:hAnsi="宋体" w:eastAsia="宋体" w:cs="宋体"/>
          <w:sz w:val="24"/>
          <w:szCs w:val="24"/>
        </w:rPr>
      </w:pPr>
    </w:p>
    <w:p>
      <w:pPr>
        <w:spacing w:line="360" w:lineRule="auto"/>
        <w:ind w:firstLine="600" w:firstLineChars="250"/>
        <w:jc w:val="left"/>
        <w:rPr>
          <w:rFonts w:ascii="宋体" w:hAnsi="宋体" w:eastAsia="宋体" w:cs="宋体"/>
          <w:sz w:val="24"/>
          <w:szCs w:val="24"/>
        </w:rPr>
      </w:pPr>
    </w:p>
    <w:p>
      <w:pPr>
        <w:pStyle w:val="3"/>
        <w:spacing w:before="0" w:after="0" w:line="360" w:lineRule="auto"/>
        <w:jc w:val="left"/>
        <w:rPr>
          <w:rFonts w:ascii="宋体" w:hAnsi="宋体" w:eastAsia="宋体" w:cs="宋体"/>
          <w:bCs w:val="0"/>
          <w:sz w:val="30"/>
          <w:szCs w:val="30"/>
          <w:lang w:val="zh-CN"/>
        </w:rPr>
      </w:pPr>
      <w:r>
        <w:rPr>
          <w:rFonts w:hint="eastAsia" w:ascii="宋体" w:hAnsi="宋体" w:eastAsia="宋体" w:cs="宋体"/>
          <w:bCs w:val="0"/>
          <w:sz w:val="30"/>
          <w:szCs w:val="30"/>
          <w:lang w:val="zh-CN"/>
        </w:rPr>
        <w:br w:type="page"/>
      </w:r>
    </w:p>
    <w:p>
      <w:pPr>
        <w:pStyle w:val="3"/>
        <w:spacing w:before="0" w:after="0" w:line="360" w:lineRule="auto"/>
        <w:jc w:val="left"/>
        <w:rPr>
          <w:rFonts w:ascii="宋体" w:hAnsi="宋体" w:eastAsia="宋体" w:cs="宋体"/>
          <w:bCs w:val="0"/>
          <w:sz w:val="30"/>
          <w:szCs w:val="30"/>
          <w:lang w:val="zh-CN"/>
        </w:rPr>
      </w:pPr>
      <w:r>
        <w:rPr>
          <w:rFonts w:hint="eastAsia" w:ascii="宋体" w:hAnsi="宋体" w:eastAsia="宋体" w:cs="宋体"/>
          <w:bCs w:val="0"/>
          <w:sz w:val="30"/>
          <w:szCs w:val="30"/>
          <w:lang w:val="zh-CN"/>
        </w:rPr>
        <w:t>商务要求</w:t>
      </w:r>
      <w:bookmarkEnd w:id="41"/>
      <w:bookmarkEnd w:id="42"/>
    </w:p>
    <w:p>
      <w:pPr>
        <w:spacing w:line="360" w:lineRule="auto"/>
        <w:ind w:left="713" w:hanging="712" w:hangingChars="297"/>
        <w:rPr>
          <w:rFonts w:ascii="宋体" w:hAnsi="宋体" w:eastAsia="宋体" w:cs="宋体"/>
          <w:b/>
          <w:sz w:val="24"/>
          <w:szCs w:val="24"/>
        </w:rPr>
      </w:pPr>
      <w:r>
        <w:rPr>
          <w:rFonts w:hint="eastAsia" w:ascii="宋体" w:hAnsi="宋体" w:eastAsia="宋体" w:cs="宋体"/>
          <w:sz w:val="24"/>
          <w:szCs w:val="24"/>
        </w:rPr>
        <w:t>说明：供应商在投标文件《商务要求响应、偏离说明表》中应对以下逐条商务要求进行响应描述或偏离说明。不满足以上要求的，其投标按照</w:t>
      </w:r>
      <w:r>
        <w:rPr>
          <w:rFonts w:hint="eastAsia" w:ascii="宋体" w:hAnsi="宋体" w:eastAsia="宋体" w:cs="宋体"/>
          <w:b/>
          <w:sz w:val="24"/>
          <w:szCs w:val="24"/>
        </w:rPr>
        <w:t>无效投标处理。</w:t>
      </w:r>
    </w:p>
    <w:tbl>
      <w:tblPr>
        <w:tblStyle w:val="26"/>
        <w:tblW w:w="979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810"/>
        <w:gridCol w:w="7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20" w:hRule="atLeast"/>
        </w:trPr>
        <w:tc>
          <w:tcPr>
            <w:tcW w:w="672" w:type="dxa"/>
            <w:tcBorders>
              <w:top w:val="single" w:color="auto" w:sz="12" w:space="0"/>
              <w:bottom w:val="single" w:color="auto" w:sz="12" w:space="0"/>
            </w:tcBorders>
            <w:shd w:val="pct10" w:color="auto" w:fill="auto"/>
            <w:vAlign w:val="center"/>
          </w:tcPr>
          <w:p>
            <w:pPr>
              <w:ind w:left="-56" w:leftChars="-27" w:right="-77" w:rightChars="-37"/>
              <w:jc w:val="center"/>
              <w:rPr>
                <w:rFonts w:ascii="宋体" w:hAnsi="宋体" w:eastAsia="宋体" w:cs="宋体"/>
                <w:sz w:val="24"/>
                <w:szCs w:val="24"/>
              </w:rPr>
            </w:pPr>
            <w:r>
              <w:rPr>
                <w:rFonts w:hint="eastAsia" w:ascii="宋体" w:hAnsi="宋体" w:eastAsia="宋体" w:cs="宋体"/>
                <w:sz w:val="24"/>
                <w:szCs w:val="24"/>
              </w:rPr>
              <w:t>序号</w:t>
            </w:r>
          </w:p>
        </w:tc>
        <w:tc>
          <w:tcPr>
            <w:tcW w:w="1810" w:type="dxa"/>
            <w:tcBorders>
              <w:top w:val="single" w:color="auto" w:sz="12" w:space="0"/>
              <w:bottom w:val="single" w:color="auto" w:sz="12" w:space="0"/>
            </w:tcBorders>
            <w:shd w:val="pct10" w:color="auto" w:fill="auto"/>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商务条款</w:t>
            </w:r>
          </w:p>
        </w:tc>
        <w:tc>
          <w:tcPr>
            <w:tcW w:w="7312" w:type="dxa"/>
            <w:tcBorders>
              <w:top w:val="single" w:color="auto" w:sz="12" w:space="0"/>
              <w:bottom w:val="single" w:color="auto" w:sz="12" w:space="0"/>
            </w:tcBorders>
            <w:shd w:val="pct10" w:color="auto" w:fill="auto"/>
            <w:vAlign w:val="center"/>
          </w:tcPr>
          <w:p>
            <w:pPr>
              <w:ind w:left="-92" w:leftChars="-44" w:right="-77" w:rightChars="-37"/>
              <w:jc w:val="center"/>
              <w:rPr>
                <w:rFonts w:ascii="宋体" w:hAnsi="宋体" w:eastAsia="宋体" w:cs="宋体"/>
                <w:sz w:val="24"/>
                <w:szCs w:val="24"/>
              </w:rPr>
            </w:pPr>
            <w:r>
              <w:rPr>
                <w:rFonts w:hint="eastAsia" w:ascii="宋体" w:hAnsi="宋体" w:eastAsia="宋体" w:cs="宋体"/>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交货期要求</w:t>
            </w:r>
          </w:p>
        </w:tc>
        <w:tc>
          <w:tcPr>
            <w:tcW w:w="7312" w:type="dxa"/>
            <w:shd w:val="clear" w:color="auto" w:fill="auto"/>
            <w:vAlign w:val="center"/>
          </w:tcPr>
          <w:p>
            <w:pPr>
              <w:autoSpaceDE w:val="0"/>
              <w:autoSpaceDN w:val="0"/>
              <w:adjustRightInd w:val="0"/>
              <w:spacing w:line="336" w:lineRule="auto"/>
              <w:rPr>
                <w:rFonts w:ascii="宋体" w:hAnsi="宋体" w:eastAsia="宋体" w:cs="宋体"/>
                <w:sz w:val="24"/>
                <w:szCs w:val="24"/>
                <w:lang w:val="zh-CN"/>
              </w:rPr>
            </w:pPr>
            <w:r>
              <w:rPr>
                <w:rFonts w:hint="eastAsia" w:ascii="宋体" w:hAnsi="宋体" w:eastAsia="宋体" w:cs="宋体"/>
                <w:sz w:val="24"/>
                <w:szCs w:val="24"/>
                <w:lang w:val="zh-CN"/>
              </w:rPr>
              <w:t>交货期要求：</w:t>
            </w:r>
          </w:p>
          <w:p>
            <w:pPr>
              <w:autoSpaceDE w:val="0"/>
              <w:autoSpaceDN w:val="0"/>
              <w:adjustRightInd w:val="0"/>
              <w:spacing w:line="336" w:lineRule="auto"/>
              <w:rPr>
                <w:rFonts w:ascii="宋体" w:hAnsi="宋体" w:eastAsia="宋体" w:cs="宋体"/>
                <w:sz w:val="24"/>
                <w:szCs w:val="24"/>
                <w:lang w:val="zh-CN"/>
              </w:rPr>
            </w:pPr>
            <w:r>
              <w:rPr>
                <w:rFonts w:hint="eastAsia" w:ascii="宋体" w:hAnsi="宋体" w:eastAsia="宋体" w:cs="宋体"/>
                <w:sz w:val="24"/>
                <w:szCs w:val="24"/>
                <w:lang w:val="zh-CN"/>
              </w:rPr>
              <w:t>进口设备：收到信用证后60个工作日内</w:t>
            </w:r>
          </w:p>
          <w:p>
            <w:pPr>
              <w:autoSpaceDE w:val="0"/>
              <w:autoSpaceDN w:val="0"/>
              <w:adjustRightInd w:val="0"/>
              <w:spacing w:line="336" w:lineRule="auto"/>
              <w:rPr>
                <w:rFonts w:ascii="宋体" w:hAnsi="宋体" w:eastAsia="宋体" w:cs="宋体"/>
                <w:sz w:val="24"/>
                <w:szCs w:val="24"/>
                <w:lang w:val="zh-CN"/>
              </w:rPr>
            </w:pPr>
            <w:r>
              <w:rPr>
                <w:rFonts w:hint="eastAsia" w:ascii="宋体" w:hAnsi="宋体" w:eastAsia="宋体" w:cs="宋体"/>
                <w:sz w:val="24"/>
                <w:szCs w:val="24"/>
                <w:lang w:val="zh-CN"/>
              </w:rPr>
              <w:t>国产设备：在合同签订后</w:t>
            </w:r>
            <w:r>
              <w:rPr>
                <w:rFonts w:hint="eastAsia" w:ascii="宋体" w:hAnsi="宋体" w:eastAsia="宋体" w:cs="宋体"/>
                <w:sz w:val="24"/>
                <w:szCs w:val="24"/>
              </w:rPr>
              <w:t>60</w:t>
            </w:r>
            <w:r>
              <w:rPr>
                <w:rFonts w:hint="eastAsia" w:ascii="宋体" w:hAnsi="宋体" w:eastAsia="宋体" w:cs="宋体"/>
                <w:sz w:val="24"/>
                <w:szCs w:val="24"/>
                <w:lang w:val="zh-CN"/>
              </w:rPr>
              <w:t>天内按用户要求时间进行送货及安装。允许提前到货。投标供应商须在投标文件中对项目周期提供详细、完整的项目实施方案和实施进度计划。</w:t>
            </w:r>
          </w:p>
          <w:p>
            <w:pPr>
              <w:autoSpaceDE w:val="0"/>
              <w:autoSpaceDN w:val="0"/>
              <w:adjustRightInd w:val="0"/>
              <w:spacing w:line="336" w:lineRule="auto"/>
              <w:rPr>
                <w:rFonts w:ascii="宋体" w:hAnsi="宋体" w:eastAsia="宋体" w:cs="宋体"/>
                <w:sz w:val="24"/>
                <w:szCs w:val="24"/>
                <w:lang w:val="zh-CN"/>
              </w:rPr>
            </w:pPr>
            <w:r>
              <w:rPr>
                <w:rFonts w:hint="eastAsia" w:ascii="宋体" w:hAnsi="宋体" w:eastAsia="宋体" w:cs="宋体"/>
                <w:sz w:val="24"/>
                <w:szCs w:val="24"/>
                <w:lang w:val="zh-CN"/>
              </w:rPr>
              <w:t>注：每延迟一天，从中标商的履约保证金中扣减300元，扣完为止。若延期超过一个月，中标公司承担合同价款的5%的违约责任，以及保留进一步追究乙方相关法律责任的权利。因甲方原因延误工期，则按相应时间顺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交付安装地点</w:t>
            </w:r>
          </w:p>
        </w:tc>
        <w:tc>
          <w:tcPr>
            <w:tcW w:w="7312" w:type="dxa"/>
            <w:shd w:val="clear" w:color="auto" w:fill="auto"/>
            <w:vAlign w:val="center"/>
          </w:tcPr>
          <w:p>
            <w:pPr>
              <w:autoSpaceDE w:val="0"/>
              <w:autoSpaceDN w:val="0"/>
              <w:adjustRightInd w:val="0"/>
              <w:spacing w:line="336" w:lineRule="auto"/>
              <w:rPr>
                <w:rFonts w:ascii="宋体" w:hAnsi="宋体" w:eastAsia="宋体" w:cs="宋体"/>
                <w:sz w:val="24"/>
                <w:szCs w:val="24"/>
                <w:lang w:val="zh-CN"/>
              </w:rPr>
            </w:pPr>
            <w:r>
              <w:rPr>
                <w:rFonts w:hint="eastAsia" w:ascii="宋体" w:hAnsi="宋体" w:eastAsia="宋体" w:cs="宋体"/>
                <w:sz w:val="24"/>
                <w:szCs w:val="24"/>
                <w:lang w:val="zh-CN"/>
              </w:rPr>
              <w:t>华中师范大学指定安装地点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restart"/>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报价要求</w:t>
            </w:r>
          </w:p>
        </w:tc>
        <w:tc>
          <w:tcPr>
            <w:tcW w:w="7312" w:type="dxa"/>
            <w:shd w:val="clear" w:color="auto" w:fill="auto"/>
            <w:vAlign w:val="center"/>
          </w:tcPr>
          <w:p>
            <w:pPr>
              <w:tabs>
                <w:tab w:val="left" w:pos="351"/>
                <w:tab w:val="left" w:pos="676"/>
              </w:tabs>
              <w:ind w:left="86" w:right="-50" w:rightChars="-24"/>
              <w:jc w:val="left"/>
              <w:rPr>
                <w:rFonts w:ascii="宋体" w:hAnsi="宋体" w:eastAsia="宋体" w:cs="宋体"/>
                <w:sz w:val="24"/>
                <w:szCs w:val="24"/>
              </w:rPr>
            </w:pPr>
            <w:r>
              <w:rPr>
                <w:rFonts w:hint="eastAsia" w:ascii="宋体" w:hAnsi="宋体" w:eastAsia="宋体" w:cs="宋体"/>
                <w:sz w:val="24"/>
                <w:szCs w:val="24"/>
              </w:rPr>
              <w:t>供应商的报价应包含为完成本招标文件提出的设备采购、运输、安装、软件开发、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耗材、材料涨价、人工、运输成本增加等因素），采购人概不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tabs>
                <w:tab w:val="left" w:pos="351"/>
                <w:tab w:val="left" w:pos="816"/>
              </w:tabs>
              <w:ind w:left="86" w:right="-50" w:rightChars="-24"/>
              <w:jc w:val="left"/>
              <w:rPr>
                <w:rFonts w:ascii="宋体" w:hAnsi="宋体" w:eastAsia="宋体" w:cs="宋体"/>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4"/>
              </w:rPr>
              <w:t>报价表中标明的价格采用“总价包干”的方式，投标供应商应充分考虑各类材料的市场风险和国家政策性调价的风险，投标报价一经中标后，投标供应商均不能作任何调整。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tabs>
                <w:tab w:val="left" w:pos="351"/>
                <w:tab w:val="left" w:pos="816"/>
              </w:tabs>
              <w:ind w:left="86" w:right="-50" w:rightChars="-24"/>
              <w:jc w:val="left"/>
              <w:rPr>
                <w:rFonts w:ascii="宋体" w:hAnsi="宋体" w:eastAsia="宋体" w:cs="宋体"/>
                <w:sz w:val="24"/>
                <w:szCs w:val="24"/>
              </w:rPr>
            </w:pPr>
          </w:p>
        </w:tc>
        <w:tc>
          <w:tcPr>
            <w:tcW w:w="7312" w:type="dxa"/>
            <w:shd w:val="clear" w:color="auto" w:fill="auto"/>
            <w:vAlign w:val="center"/>
          </w:tcPr>
          <w:p>
            <w:pPr>
              <w:tabs>
                <w:tab w:val="left" w:pos="351"/>
                <w:tab w:val="left" w:pos="816"/>
              </w:tabs>
              <w:ind w:right="-50" w:rightChars="-24"/>
              <w:jc w:val="left"/>
              <w:rPr>
                <w:rFonts w:ascii="宋体" w:hAnsi="宋体" w:eastAsia="宋体" w:cs="宋体"/>
                <w:sz w:val="24"/>
                <w:szCs w:val="24"/>
              </w:rPr>
            </w:pPr>
            <w:r>
              <w:rPr>
                <w:rFonts w:hint="eastAsia" w:ascii="宋体" w:hAnsi="宋体" w:eastAsia="宋体" w:cs="宋体"/>
                <w:sz w:val="24"/>
                <w:szCs w:val="24"/>
              </w:rPr>
              <w:t>1.若供应商所投产品为国产设备，供应商须以人民币报价。</w:t>
            </w:r>
          </w:p>
          <w:p>
            <w:pPr>
              <w:tabs>
                <w:tab w:val="left" w:pos="351"/>
                <w:tab w:val="left" w:pos="816"/>
              </w:tabs>
              <w:ind w:right="-50" w:rightChars="-24"/>
              <w:jc w:val="left"/>
              <w:rPr>
                <w:rFonts w:ascii="宋体" w:hAnsi="宋体" w:eastAsia="宋体" w:cs="宋体"/>
                <w:sz w:val="24"/>
                <w:szCs w:val="24"/>
              </w:rPr>
            </w:pPr>
            <w:r>
              <w:rPr>
                <w:rFonts w:hint="eastAsia" w:ascii="宋体" w:hAnsi="宋体" w:eastAsia="宋体" w:cs="宋体"/>
                <w:sz w:val="24"/>
                <w:szCs w:val="24"/>
              </w:rPr>
              <w:t>2.若供应商所投产品为进口设备，因采购用途为教学设备，按国家政策规定可免进口关税，供应商须报美元免税价。</w:t>
            </w:r>
          </w:p>
          <w:p>
            <w:pPr>
              <w:tabs>
                <w:tab w:val="left" w:pos="351"/>
                <w:tab w:val="left" w:pos="816"/>
              </w:tabs>
              <w:ind w:right="-50" w:rightChars="-24"/>
              <w:jc w:val="left"/>
              <w:rPr>
                <w:rFonts w:ascii="宋体" w:hAnsi="宋体" w:eastAsia="宋体" w:cs="宋体"/>
                <w:sz w:val="24"/>
                <w:szCs w:val="24"/>
              </w:rPr>
            </w:pPr>
            <w:r>
              <w:rPr>
                <w:rFonts w:hint="eastAsia" w:ascii="宋体" w:hAnsi="宋体" w:eastAsia="宋体" w:cs="宋体"/>
                <w:sz w:val="24"/>
                <w:szCs w:val="24"/>
              </w:rPr>
              <w:t>3.若供应商所投产品包含国产设备及进口设备的，供应商须以国产设备人民币报价加进口设备美元免税价折算后的人民币报价报总价。</w:t>
            </w:r>
          </w:p>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4"/>
              </w:rPr>
              <w:t>（进口设备产地为中国的视为国产设备，以人民币报价单位元，进口免税设备要求CIP武汉美元报价；外贸代理费由采购人支付）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9"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质保期</w:t>
            </w: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4"/>
              </w:rPr>
              <w:t>见各包技术要求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4"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restart"/>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售后服务</w:t>
            </w: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bCs/>
                <w:sz w:val="24"/>
                <w:szCs w:val="24"/>
              </w:rPr>
            </w:pPr>
            <w:r>
              <w:rPr>
                <w:rFonts w:hint="eastAsia" w:ascii="宋体" w:hAnsi="宋体" w:eastAsia="宋体" w:cs="宋体"/>
                <w:bCs/>
                <w:sz w:val="24"/>
                <w:szCs w:val="24"/>
              </w:rPr>
              <w:t>卖方提供所有物品（明示部分除外）的免费保修期自仪器验收后，双方确定保修期开始签字之日起计算，质保内容包括整机及所有投标相关产品；仪器到达用户所在地后，在接到用户通知后1周内进行安装调试，在买方技术人员在场的情况下开箱清点货物，组织安装、调试，并承担因此发生的一切费用，直至通过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bCs/>
                <w:sz w:val="24"/>
                <w:szCs w:val="24"/>
              </w:rPr>
            </w:pPr>
            <w:r>
              <w:rPr>
                <w:rFonts w:hint="eastAsia" w:ascii="宋体" w:hAnsi="宋体" w:eastAsia="宋体" w:cs="宋体"/>
                <w:bCs/>
                <w:sz w:val="24"/>
                <w:szCs w:val="24"/>
              </w:rPr>
              <w:t>安装调试过程中，由厂商工程师免费进行不少于2天的实操培训，确保使用人员正确使用。部分设备若有特殊要求，则从其规定。在保修期内，如卖方供货范围内的设备发生软、硬件故障，卖方保证在15天内负责免费更换和安装调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bCs/>
                <w:sz w:val="24"/>
                <w:szCs w:val="24"/>
              </w:rPr>
            </w:pPr>
            <w:r>
              <w:rPr>
                <w:rFonts w:hint="eastAsia" w:ascii="宋体" w:hAnsi="宋体" w:eastAsia="宋体" w:cs="宋体"/>
                <w:bCs/>
                <w:sz w:val="24"/>
                <w:szCs w:val="24"/>
              </w:rPr>
              <w:t>维修响应时间：所有硬件一年免费保修、所有软件终身免费升级、电话报修后24小时内做出响应，如确认确需抵达用户现场，72小时内到达用户现场进行故障检修。所有硬件过保修期后按优惠价格维修。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bCs/>
                <w:sz w:val="24"/>
                <w:szCs w:val="20"/>
                <w:lang w:val="zh-CN"/>
              </w:rPr>
            </w:pPr>
            <w:r>
              <w:rPr>
                <w:rFonts w:hint="eastAsia" w:ascii="宋体" w:hAnsi="宋体" w:eastAsia="宋体" w:cs="宋体"/>
                <w:bCs/>
                <w:sz w:val="24"/>
                <w:szCs w:val="20"/>
                <w:lang w:val="zh-CN"/>
              </w:rPr>
              <w:t>卖方在中国大陆应设有维修站。投标时需提供负责售后服务的部门或单位的名称及联系方法以及维修人员的姓名和联系电话。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bCs/>
                <w:sz w:val="24"/>
                <w:szCs w:val="20"/>
                <w:lang w:val="zh-CN"/>
              </w:rPr>
            </w:pPr>
            <w:r>
              <w:rPr>
                <w:rFonts w:hint="eastAsia" w:ascii="宋体" w:hAnsi="宋体" w:eastAsia="宋体" w:cs="宋体"/>
                <w:bCs/>
                <w:sz w:val="24"/>
                <w:szCs w:val="20"/>
                <w:lang w:val="zh-CN"/>
              </w:rPr>
              <w:t>保修期满以后的维修合同费用：卖方应提供各种不同类型的维修合同费用及计算方法。如卖方是代理商，则需出具投标设备生产厂签署的文件。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7"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付款方式</w:t>
            </w: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szCs w:val="24"/>
              </w:rPr>
              <w:t>设备安装调试一月后，经验收合格若无质量问题，付合同总金额的90%，余款10%作为质保金，验收合格一年后，无质量问题即一次性付清。</w:t>
            </w:r>
          </w:p>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szCs w:val="24"/>
              </w:rPr>
              <w:t>免税进口设备：采取信用证方式（L/C），签订合同开出信用证后，见单支付合同全额的90%，10%作为质保金在验收合格后采取电汇或其他方式支付。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restart"/>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rPr>
              <w:t>产品质量要求</w:t>
            </w: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rPr>
              <w:t>本次招标项目的产品和安装必须完全满足中华人民共和国国家质量标准及现行规范要求，供应商应根据企业实际能力在投标文件中对项目质量予以承诺，中标后在合同中加以确认。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rPr>
              <w:t>若中标，国产产品提供产品合格证和国家质检标志，同时应提交国家相关部门的质量检测报告书；所有部件、材料必须符合我国相关产业界产品标准，并提供相关报关证明。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rPr>
              <w:t>所有设备和配件均要求是经过实际运行验证、性能稳定的全新产品，且设备上具有原制造厂商的铭牌、标志。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rPr>
              <w:t>如有在本招标文件中未说明的设备运行所必须的其他辅助设备及软件系统，请在投标文件中提供详细说明及相关报价。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690"/>
              </w:tabs>
              <w:ind w:left="86" w:right="-50" w:rightChars="-24"/>
              <w:jc w:val="left"/>
              <w:rPr>
                <w:rFonts w:ascii="宋体" w:hAnsi="宋体" w:eastAsia="宋体" w:cs="宋体"/>
                <w:sz w:val="24"/>
                <w:szCs w:val="24"/>
              </w:rPr>
            </w:pPr>
            <w:r>
              <w:rPr>
                <w:rFonts w:hint="eastAsia" w:ascii="宋体" w:hAnsi="宋体" w:eastAsia="宋体" w:cs="宋体"/>
                <w:sz w:val="24"/>
              </w:rPr>
              <w:t>供应商在招标及中标后，发生侵犯专利权的行为时，其侵权责任与采购人无关，应由供应商承担相应的责任，并不得影响采购人的利益。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restart"/>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产品进场安装、调试及验收</w:t>
            </w: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rPr>
              <w:t>中标人须提供全新的设备，所有设备均须由中标人送货到指定地点并安装调试，采购人不再支付任何费用。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所提供设备到达目的地后，采购人按中标人提供的设备清单及检验产品合格证、使用说明书和其他的技术资料负责开箱检验、检查设备及随机附件是否完整无损，技术资料是否与采购人的要求相符，如有损坏、缺件等情况，中标人应在5日内更换新产品，相应的费用及责任由中标人自行负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中标人应提供设备所带专用工具清单，并标明其种类、用途和生产厂，并在货物到货时同时提供给采购人。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中标人须免费提供调试专用工具，直到项目质保期满。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必须提供产品安装的详细实施建议方案和产品安装实施过程的工作内容、工作日程表、工作方法，并征得采购人认可后严格按照日程表执行。日程表内容至少应包括到货日期、现场安装、系统测试、系统联调、系统试运行、验收、技术培训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中标人应允许采购人的工作人员参与项目的安装、测试、诊断及解决问题等各项工作，并提供相关的现场培训。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安装联调过程中，中标人供给采购人的产品及自己使用的工具，进入采购人使用现场后的保管由中标人负责；中标人在采购人使用现场安装人员的安全、保险、食宿、交通由中标人负责。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rPr>
            </w:pPr>
            <w:r>
              <w:rPr>
                <w:rFonts w:hint="eastAsia" w:ascii="宋体" w:hAnsi="宋体" w:eastAsia="宋体" w:cs="宋体"/>
                <w:sz w:val="24"/>
              </w:rPr>
              <w:t>中标人在验收前必须递交书面的验收方案，并报采购人认可后以其为依据，方可开始验收工作。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b/>
                <w:sz w:val="24"/>
              </w:rPr>
            </w:pPr>
            <w:r>
              <w:rPr>
                <w:rFonts w:hint="eastAsia" w:ascii="宋体" w:hAnsi="宋体" w:eastAsia="宋体" w:cs="宋体"/>
                <w:b/>
                <w:sz w:val="24"/>
              </w:rPr>
              <w:t>采购人将确认下列条款后进行验收签字：</w:t>
            </w:r>
          </w:p>
          <w:p>
            <w:pPr>
              <w:tabs>
                <w:tab w:val="left" w:pos="669"/>
              </w:tabs>
              <w:rPr>
                <w:rFonts w:ascii="宋体" w:hAnsi="宋体" w:eastAsia="宋体" w:cs="宋体"/>
                <w:sz w:val="24"/>
              </w:rPr>
            </w:pPr>
            <w:r>
              <w:rPr>
                <w:rFonts w:hint="eastAsia" w:ascii="宋体" w:hAnsi="宋体" w:eastAsia="宋体" w:cs="宋体"/>
                <w:sz w:val="24"/>
              </w:rPr>
              <w:t>1.投标文件中提供的产品技术数据经核验证实是真实的；</w:t>
            </w:r>
          </w:p>
          <w:p>
            <w:pPr>
              <w:tabs>
                <w:tab w:val="left" w:pos="669"/>
              </w:tabs>
              <w:ind w:left="60"/>
              <w:rPr>
                <w:rFonts w:ascii="宋体" w:hAnsi="宋体" w:eastAsia="宋体" w:cs="宋体"/>
                <w:sz w:val="24"/>
              </w:rPr>
            </w:pPr>
            <w:r>
              <w:rPr>
                <w:rFonts w:hint="eastAsia" w:ascii="宋体" w:hAnsi="宋体" w:eastAsia="宋体" w:cs="宋体"/>
                <w:sz w:val="24"/>
              </w:rPr>
              <w:t>2.在调试期内所暴露的问题已获得令采购人满意的解决；</w:t>
            </w:r>
          </w:p>
          <w:p>
            <w:pPr>
              <w:tabs>
                <w:tab w:val="left" w:pos="669"/>
              </w:tabs>
              <w:ind w:left="60"/>
              <w:rPr>
                <w:rFonts w:ascii="宋体" w:hAnsi="宋体" w:eastAsia="宋体" w:cs="宋体"/>
                <w:sz w:val="24"/>
                <w:szCs w:val="24"/>
              </w:rPr>
            </w:pPr>
            <w:r>
              <w:rPr>
                <w:rFonts w:hint="eastAsia" w:ascii="宋体" w:hAnsi="宋体" w:eastAsia="宋体" w:cs="宋体"/>
                <w:sz w:val="24"/>
              </w:rPr>
              <w:t>3.所要求的资料、备件等已按规定数量移交完毕。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restart"/>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bCs/>
                <w:kern w:val="0"/>
                <w:sz w:val="24"/>
                <w:lang w:val="zh-CN"/>
              </w:rPr>
              <w:t>知识产权</w:t>
            </w: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0"/>
                <w:lang w:val="zh-CN"/>
              </w:rPr>
              <w:t>中标人必须确保本系统所使用的开发平台及相关软硬件等产品均为合法获得，对因此而且可能引发的相关法律责任，由中标人自行承担。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0"/>
                <w:lang w:val="zh-CN"/>
              </w:rPr>
              <w:t>本系统相关知识产权为采购人和中标人所共有，中标人必须提供本系统全部相关文档；中标人须预留必要的二次开发接口，采购人有权在此基础上进行必要的二次开发和整合。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0"/>
                <w:lang w:val="zh-CN"/>
              </w:rPr>
              <w:t>中标人为采购人提供的并且已被支付的全部产品的所有权均属采购人所有。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vMerge w:val="continue"/>
            <w:shd w:val="clear" w:color="auto" w:fill="auto"/>
            <w:vAlign w:val="center"/>
          </w:tcPr>
          <w:p>
            <w:pPr>
              <w:ind w:left="-56" w:leftChars="-27" w:right="-77" w:rightChars="-37"/>
              <w:jc w:val="center"/>
              <w:rPr>
                <w:rFonts w:ascii="宋体" w:hAnsi="宋体" w:eastAsia="宋体" w:cs="宋体"/>
                <w:b/>
                <w:sz w:val="24"/>
                <w:szCs w:val="24"/>
              </w:rPr>
            </w:pP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4"/>
              </w:rPr>
            </w:pPr>
            <w:r>
              <w:rPr>
                <w:rFonts w:hint="eastAsia" w:ascii="宋体" w:hAnsi="宋体" w:eastAsia="宋体" w:cs="宋体"/>
                <w:sz w:val="24"/>
                <w:szCs w:val="20"/>
                <w:lang w:val="zh-CN"/>
              </w:rPr>
              <w:t>采购人在今后的业务发展中，可以将平台软件系统安装部署在其他地点，中标人应在服务期提供完善的技术支持。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672" w:type="dxa"/>
            <w:shd w:val="clear" w:color="auto" w:fill="auto"/>
            <w:vAlign w:val="center"/>
          </w:tcPr>
          <w:p>
            <w:pPr>
              <w:numPr>
                <w:ilvl w:val="0"/>
                <w:numId w:val="39"/>
              </w:numPr>
              <w:tabs>
                <w:tab w:val="left" w:pos="130"/>
              </w:tabs>
              <w:ind w:left="0" w:firstLine="0"/>
              <w:jc w:val="center"/>
              <w:rPr>
                <w:rFonts w:ascii="宋体" w:hAnsi="宋体" w:eastAsia="宋体" w:cs="宋体"/>
                <w:sz w:val="24"/>
                <w:szCs w:val="24"/>
              </w:rPr>
            </w:pPr>
          </w:p>
        </w:tc>
        <w:tc>
          <w:tcPr>
            <w:tcW w:w="1810" w:type="dxa"/>
            <w:shd w:val="clear" w:color="auto" w:fill="auto"/>
            <w:vAlign w:val="center"/>
          </w:tcPr>
          <w:p>
            <w:pPr>
              <w:ind w:left="-56" w:leftChars="-27" w:right="-77" w:rightChars="-37"/>
              <w:jc w:val="center"/>
              <w:rPr>
                <w:rFonts w:ascii="宋体" w:hAnsi="宋体" w:eastAsia="宋体" w:cs="宋体"/>
                <w:b/>
                <w:sz w:val="24"/>
                <w:szCs w:val="24"/>
              </w:rPr>
            </w:pPr>
            <w:r>
              <w:rPr>
                <w:rFonts w:hint="eastAsia" w:ascii="宋体" w:hAnsi="宋体" w:eastAsia="宋体" w:cs="宋体"/>
                <w:b/>
                <w:sz w:val="24"/>
                <w:szCs w:val="24"/>
              </w:rPr>
              <w:t>培训</w:t>
            </w:r>
          </w:p>
        </w:tc>
        <w:tc>
          <w:tcPr>
            <w:tcW w:w="7312" w:type="dxa"/>
            <w:shd w:val="clear" w:color="auto" w:fill="auto"/>
            <w:vAlign w:val="center"/>
          </w:tcPr>
          <w:p>
            <w:pPr>
              <w:tabs>
                <w:tab w:val="left" w:pos="351"/>
                <w:tab w:val="left" w:pos="816"/>
              </w:tabs>
              <w:ind w:left="86" w:right="-50" w:rightChars="-24"/>
              <w:jc w:val="left"/>
              <w:rPr>
                <w:rFonts w:ascii="宋体" w:hAnsi="宋体" w:eastAsia="宋体" w:cs="宋体"/>
                <w:sz w:val="24"/>
                <w:szCs w:val="20"/>
                <w:lang w:val="zh-CN"/>
              </w:rPr>
            </w:pPr>
            <w:r>
              <w:rPr>
                <w:rFonts w:hint="eastAsia" w:ascii="宋体" w:hAnsi="宋体" w:eastAsia="宋体" w:cs="宋体"/>
                <w:sz w:val="24"/>
                <w:szCs w:val="20"/>
                <w:lang w:val="zh-CN"/>
              </w:rPr>
              <w:t>提供不少于3天，且不少于2人的主要设备厂商（认证的）工程师安装配置等实操培训课程，场地、交通等与培训相关的费用均由中标供应商承担。</w:t>
            </w:r>
          </w:p>
        </w:tc>
      </w:tr>
    </w:tbl>
    <w:p>
      <w:pPr>
        <w:sectPr>
          <w:pgSz w:w="11906" w:h="16838"/>
          <w:pgMar w:top="1134" w:right="1191" w:bottom="1134" w:left="1191" w:header="851" w:footer="624" w:gutter="0"/>
          <w:cols w:space="425" w:num="1"/>
          <w:docGrid w:type="linesAndChars" w:linePitch="312" w:charSpace="0"/>
        </w:sectPr>
      </w:pPr>
      <w:bookmarkStart w:id="43" w:name="_Toc495848906"/>
    </w:p>
    <w:p>
      <w:pPr>
        <w:pStyle w:val="2"/>
        <w:numPr>
          <w:ilvl w:val="0"/>
          <w:numId w:val="1"/>
        </w:numPr>
        <w:jc w:val="center"/>
        <w:rPr>
          <w:rFonts w:ascii="宋体" w:hAnsi="宋体" w:eastAsia="宋体" w:cs="宋体"/>
        </w:rPr>
      </w:pPr>
      <w:r>
        <w:rPr>
          <w:rFonts w:hint="eastAsia" w:ascii="宋体" w:hAnsi="宋体" w:eastAsia="宋体" w:cs="宋体"/>
        </w:rPr>
        <w:t>资格审查方法及标准</w:t>
      </w:r>
      <w:bookmarkEnd w:id="43"/>
    </w:p>
    <w:p>
      <w:pPr>
        <w:spacing w:line="360" w:lineRule="auto"/>
        <w:ind w:firstLine="420"/>
        <w:rPr>
          <w:rFonts w:ascii="宋体" w:hAnsi="宋体" w:eastAsia="宋体" w:cs="宋体"/>
          <w:bCs/>
          <w:sz w:val="24"/>
          <w:szCs w:val="20"/>
          <w:lang w:val="zh-CN"/>
        </w:rPr>
      </w:pPr>
      <w:r>
        <w:rPr>
          <w:rFonts w:hint="eastAsia" w:ascii="宋体" w:hAnsi="宋体" w:eastAsia="宋体" w:cs="宋体"/>
          <w:bCs/>
          <w:sz w:val="24"/>
          <w:szCs w:val="20"/>
          <w:lang w:val="zh-CN"/>
        </w:rPr>
        <w:t>根据《政府采购法》、《政府采购法实施条例》、《政府采购货物和服务招标投标管理办法》等相关法律法规确定以下资格审查方法及标准。</w:t>
      </w:r>
    </w:p>
    <w:p>
      <w:pPr>
        <w:pStyle w:val="3"/>
        <w:numPr>
          <w:ilvl w:val="0"/>
          <w:numId w:val="40"/>
        </w:numPr>
        <w:spacing w:before="0" w:after="0" w:line="360" w:lineRule="auto"/>
        <w:ind w:left="616" w:hanging="616"/>
        <w:jc w:val="left"/>
        <w:rPr>
          <w:rFonts w:ascii="宋体" w:hAnsi="宋体" w:eastAsia="宋体" w:cs="宋体"/>
          <w:bCs w:val="0"/>
          <w:sz w:val="30"/>
          <w:szCs w:val="30"/>
          <w:lang w:val="zh-CN"/>
        </w:rPr>
      </w:pPr>
      <w:bookmarkStart w:id="44" w:name="_Toc494561958"/>
      <w:bookmarkStart w:id="45" w:name="_Toc495848907"/>
      <w:r>
        <w:rPr>
          <w:rFonts w:hint="eastAsia" w:ascii="宋体" w:hAnsi="宋体" w:eastAsia="宋体" w:cs="宋体"/>
          <w:bCs w:val="0"/>
          <w:sz w:val="30"/>
          <w:szCs w:val="30"/>
          <w:lang w:val="zh-CN"/>
        </w:rPr>
        <w:t>资格审查方法</w:t>
      </w:r>
      <w:bookmarkEnd w:id="44"/>
      <w:bookmarkEnd w:id="45"/>
    </w:p>
    <w:p>
      <w:pPr>
        <w:spacing w:line="360" w:lineRule="auto"/>
        <w:ind w:firstLine="420"/>
        <w:rPr>
          <w:rFonts w:ascii="宋体" w:hAnsi="宋体" w:eastAsia="宋体" w:cs="宋体"/>
          <w:bCs/>
          <w:sz w:val="24"/>
          <w:szCs w:val="20"/>
          <w:lang w:val="zh-CN"/>
        </w:rPr>
      </w:pPr>
      <w:r>
        <w:rPr>
          <w:rFonts w:hint="eastAsia" w:ascii="宋体" w:hAnsi="宋体" w:eastAsia="宋体" w:cs="宋体"/>
          <w:bCs/>
          <w:sz w:val="24"/>
          <w:szCs w:val="20"/>
          <w:lang w:val="zh-CN"/>
        </w:rPr>
        <w:t>公开招标采购项目开标结束后，采购人与采购代理机构成立资格审查小组，依据法律、法规及招标文件的规定，对供应商的资格进行审查，以确定供应商资格是否合格。</w:t>
      </w:r>
    </w:p>
    <w:p>
      <w:pPr>
        <w:pStyle w:val="3"/>
        <w:numPr>
          <w:ilvl w:val="0"/>
          <w:numId w:val="40"/>
        </w:numPr>
        <w:spacing w:before="0" w:after="0" w:line="360" w:lineRule="auto"/>
        <w:ind w:left="616" w:hanging="616"/>
        <w:jc w:val="left"/>
        <w:rPr>
          <w:rFonts w:ascii="宋体" w:hAnsi="宋体" w:eastAsia="宋体" w:cs="宋体"/>
          <w:bCs w:val="0"/>
          <w:sz w:val="30"/>
          <w:szCs w:val="30"/>
          <w:lang w:val="zh-CN"/>
        </w:rPr>
      </w:pPr>
      <w:bookmarkStart w:id="46" w:name="_Toc495848908"/>
      <w:bookmarkStart w:id="47" w:name="_Toc494561959"/>
      <w:r>
        <w:rPr>
          <w:rFonts w:hint="eastAsia" w:ascii="宋体" w:hAnsi="宋体" w:eastAsia="宋体" w:cs="宋体"/>
          <w:bCs w:val="0"/>
          <w:sz w:val="30"/>
          <w:szCs w:val="30"/>
          <w:lang w:val="zh-CN"/>
        </w:rPr>
        <w:t>资格审查标准</w:t>
      </w:r>
      <w:bookmarkEnd w:id="46"/>
      <w:bookmarkEnd w:id="47"/>
    </w:p>
    <w:p>
      <w:pPr>
        <w:numPr>
          <w:ilvl w:val="0"/>
          <w:numId w:val="41"/>
        </w:numPr>
        <w:tabs>
          <w:tab w:val="left" w:pos="616"/>
        </w:tabs>
        <w:spacing w:line="360" w:lineRule="auto"/>
        <w:ind w:left="14" w:firstLine="238"/>
        <w:rPr>
          <w:rFonts w:ascii="宋体" w:hAnsi="宋体" w:eastAsia="宋体" w:cs="宋体"/>
          <w:b/>
          <w:sz w:val="24"/>
          <w:szCs w:val="24"/>
          <w:lang w:val="zh-CN"/>
        </w:rPr>
      </w:pPr>
      <w:r>
        <w:rPr>
          <w:rFonts w:hint="eastAsia" w:ascii="宋体" w:hAnsi="宋体" w:eastAsia="宋体" w:cs="宋体"/>
          <w:b/>
          <w:sz w:val="24"/>
          <w:szCs w:val="24"/>
          <w:lang w:val="zh-CN"/>
        </w:rPr>
        <w:t>资格证明文件审查</w:t>
      </w:r>
    </w:p>
    <w:p>
      <w:pPr>
        <w:tabs>
          <w:tab w:val="left" w:pos="616"/>
        </w:tabs>
        <w:spacing w:line="360" w:lineRule="auto"/>
        <w:ind w:firstLine="420"/>
        <w:rPr>
          <w:rFonts w:ascii="宋体" w:hAnsi="宋体" w:eastAsia="宋体" w:cs="宋体"/>
          <w:b/>
          <w:kern w:val="0"/>
          <w:sz w:val="24"/>
          <w:szCs w:val="24"/>
          <w:lang w:val="zh-CN"/>
        </w:rPr>
      </w:pPr>
      <w:r>
        <w:rPr>
          <w:rFonts w:hint="eastAsia" w:ascii="宋体" w:hAnsi="宋体" w:eastAsia="宋体" w:cs="宋体"/>
          <w:kern w:val="0"/>
          <w:sz w:val="24"/>
          <w:szCs w:val="24"/>
          <w:lang w:val="zh-CN"/>
        </w:rPr>
        <w:t>所递交的资格证明文件出现不符合下列情形之一或不足以证明其符合下列情形之一的，应视为资格审查不合格，并按照</w:t>
      </w:r>
      <w:r>
        <w:rPr>
          <w:rFonts w:hint="eastAsia" w:ascii="宋体" w:hAnsi="宋体" w:eastAsia="宋体" w:cs="宋体"/>
          <w:b/>
          <w:kern w:val="0"/>
          <w:sz w:val="24"/>
          <w:szCs w:val="24"/>
          <w:lang w:val="zh-CN"/>
        </w:rPr>
        <w:t>无效投标处理：</w:t>
      </w:r>
    </w:p>
    <w:p>
      <w:pPr>
        <w:pStyle w:val="31"/>
        <w:numPr>
          <w:ilvl w:val="0"/>
          <w:numId w:val="42"/>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应具备《政府采购法》第二十二条第一款规定的条件，</w:t>
      </w:r>
      <w:r>
        <w:rPr>
          <w:rFonts w:hint="eastAsia" w:ascii="宋体" w:hAnsi="宋体" w:eastAsia="宋体" w:cs="宋体"/>
          <w:sz w:val="24"/>
          <w:szCs w:val="24"/>
        </w:rPr>
        <w:t>提供下列材料</w:t>
      </w:r>
      <w:r>
        <w:rPr>
          <w:rFonts w:hint="eastAsia" w:ascii="宋体" w:hAnsi="宋体" w:eastAsia="宋体" w:cs="宋体"/>
          <w:sz w:val="24"/>
          <w:szCs w:val="24"/>
          <w:lang w:val="zh-CN"/>
        </w:rPr>
        <w:t>：</w:t>
      </w:r>
    </w:p>
    <w:p>
      <w:pPr>
        <w:pStyle w:val="31"/>
        <w:numPr>
          <w:ilvl w:val="0"/>
          <w:numId w:val="43"/>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法人或者其他组织的营业执照等证明文件，自然人的身份证明；</w:t>
      </w:r>
    </w:p>
    <w:p>
      <w:pPr>
        <w:pStyle w:val="31"/>
        <w:numPr>
          <w:ilvl w:val="0"/>
          <w:numId w:val="43"/>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财务状况报告，依法缴纳税收和社会保障资金的相关材料；</w:t>
      </w:r>
    </w:p>
    <w:p>
      <w:pPr>
        <w:pStyle w:val="31"/>
        <w:numPr>
          <w:ilvl w:val="0"/>
          <w:numId w:val="43"/>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具备履行合同所必需的设备和专业技术能力的证明材料；</w:t>
      </w:r>
    </w:p>
    <w:p>
      <w:pPr>
        <w:pStyle w:val="31"/>
        <w:numPr>
          <w:ilvl w:val="0"/>
          <w:numId w:val="43"/>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参加政府采购活动前3年内在经营活动中没有重大违法记录的书面声明；</w:t>
      </w:r>
    </w:p>
    <w:p>
      <w:pPr>
        <w:pStyle w:val="31"/>
        <w:numPr>
          <w:ilvl w:val="0"/>
          <w:numId w:val="43"/>
        </w:numPr>
        <w:tabs>
          <w:tab w:val="left" w:pos="1036"/>
        </w:tabs>
        <w:spacing w:line="360" w:lineRule="auto"/>
        <w:ind w:left="1036" w:hanging="616" w:firstLineChars="0"/>
        <w:rPr>
          <w:rFonts w:ascii="宋体" w:hAnsi="宋体" w:eastAsia="宋体" w:cs="宋体"/>
          <w:sz w:val="24"/>
          <w:szCs w:val="24"/>
          <w:lang w:val="zh-CN"/>
        </w:rPr>
      </w:pPr>
      <w:r>
        <w:rPr>
          <w:rFonts w:hint="eastAsia" w:ascii="宋体" w:hAnsi="宋体" w:eastAsia="宋体" w:cs="宋体"/>
          <w:sz w:val="24"/>
          <w:szCs w:val="24"/>
          <w:lang w:val="zh-CN"/>
        </w:rPr>
        <w:t>具备法律、行政法规规定的其他条件的证明材料。</w:t>
      </w:r>
    </w:p>
    <w:p>
      <w:pPr>
        <w:pStyle w:val="31"/>
        <w:numPr>
          <w:ilvl w:val="0"/>
          <w:numId w:val="42"/>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招标文件第一章“供应商资格要求”中有特殊要求的，供应商应提供其符合特殊要求的证明材料或者情况说明；</w:t>
      </w:r>
    </w:p>
    <w:p>
      <w:pPr>
        <w:pStyle w:val="31"/>
        <w:numPr>
          <w:ilvl w:val="0"/>
          <w:numId w:val="42"/>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供应商认为需提供的其它相关资格证明材料；</w:t>
      </w:r>
    </w:p>
    <w:p>
      <w:pPr>
        <w:pStyle w:val="31"/>
        <w:numPr>
          <w:ilvl w:val="0"/>
          <w:numId w:val="42"/>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资格证明文件正本应为清晰彩色影印件且加盖单位公章。</w:t>
      </w:r>
    </w:p>
    <w:p>
      <w:pPr>
        <w:numPr>
          <w:ilvl w:val="0"/>
          <w:numId w:val="41"/>
        </w:numPr>
        <w:tabs>
          <w:tab w:val="left" w:pos="616"/>
        </w:tabs>
        <w:spacing w:line="360" w:lineRule="auto"/>
        <w:ind w:left="14" w:firstLine="238"/>
        <w:rPr>
          <w:rFonts w:ascii="宋体" w:hAnsi="宋体" w:eastAsia="宋体" w:cs="宋体"/>
          <w:b/>
          <w:sz w:val="24"/>
          <w:szCs w:val="24"/>
          <w:lang w:val="zh-CN"/>
        </w:rPr>
      </w:pPr>
      <w:r>
        <w:rPr>
          <w:rFonts w:hint="eastAsia" w:ascii="宋体" w:hAnsi="宋体" w:eastAsia="宋体" w:cs="宋体"/>
          <w:b/>
          <w:sz w:val="24"/>
          <w:szCs w:val="24"/>
          <w:lang w:val="zh-CN"/>
        </w:rPr>
        <w:t>确定资格审查合格供应商</w:t>
      </w:r>
    </w:p>
    <w:p>
      <w:pPr>
        <w:pStyle w:val="31"/>
        <w:numPr>
          <w:ilvl w:val="0"/>
          <w:numId w:val="44"/>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资格审查小组按照本章“资格审查方法及标准”，对各供应商资格证明文件进行审查。资格审查小组依据对各供应商资格证明文件的审查结果，确定资格审查合格的供应商，并形成书面的资格审查报告。</w:t>
      </w:r>
    </w:p>
    <w:p>
      <w:pPr>
        <w:pStyle w:val="31"/>
        <w:numPr>
          <w:ilvl w:val="0"/>
          <w:numId w:val="44"/>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资格审查合格供应商不足3家的，不进行评标。</w:t>
      </w:r>
    </w:p>
    <w:p>
      <w:pPr>
        <w:pStyle w:val="31"/>
        <w:numPr>
          <w:ilvl w:val="0"/>
          <w:numId w:val="44"/>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资格审查未通过的供应商可在结果公告质疑有效期内按公告中的联系方式获知本单位的资格审查情况。</w:t>
      </w:r>
    </w:p>
    <w:p>
      <w:pPr>
        <w:pStyle w:val="31"/>
        <w:numPr>
          <w:ilvl w:val="0"/>
          <w:numId w:val="44"/>
        </w:numPr>
        <w:tabs>
          <w:tab w:val="left" w:pos="840"/>
        </w:tabs>
        <w:spacing w:line="360" w:lineRule="auto"/>
        <w:ind w:hanging="602" w:firstLineChars="0"/>
        <w:rPr>
          <w:rFonts w:ascii="宋体" w:hAnsi="宋体" w:eastAsia="宋体" w:cs="宋体"/>
          <w:sz w:val="24"/>
          <w:szCs w:val="24"/>
          <w:lang w:val="zh-CN"/>
        </w:rPr>
      </w:pPr>
      <w:r>
        <w:rPr>
          <w:rFonts w:hint="eastAsia" w:ascii="宋体" w:hAnsi="宋体" w:eastAsia="宋体" w:cs="宋体"/>
          <w:sz w:val="24"/>
          <w:szCs w:val="24"/>
          <w:lang w:val="zh-CN"/>
        </w:rPr>
        <w:t>采购人已进行资格预审的，不再进行资格审查。未通过资格预审的供应商采购代理机构</w:t>
      </w:r>
      <w:r>
        <w:rPr>
          <w:rFonts w:hint="eastAsia" w:ascii="宋体" w:hAnsi="宋体" w:eastAsia="宋体" w:cs="宋体"/>
          <w:b/>
          <w:sz w:val="24"/>
          <w:szCs w:val="24"/>
          <w:lang w:val="zh-CN"/>
        </w:rPr>
        <w:t>拒绝</w:t>
      </w:r>
      <w:r>
        <w:rPr>
          <w:rFonts w:hint="eastAsia" w:ascii="宋体" w:hAnsi="宋体" w:eastAsia="宋体" w:cs="宋体"/>
          <w:sz w:val="24"/>
          <w:szCs w:val="24"/>
          <w:lang w:val="zh-CN"/>
        </w:rPr>
        <w:t>其投标。</w:t>
      </w:r>
    </w:p>
    <w:p>
      <w:pPr>
        <w:spacing w:line="480" w:lineRule="auto"/>
        <w:ind w:firstLine="480" w:firstLineChars="150"/>
        <w:jc w:val="center"/>
        <w:rPr>
          <w:rFonts w:ascii="宋体" w:hAnsi="宋体" w:eastAsia="宋体" w:cs="宋体"/>
          <w:b/>
          <w:bCs/>
          <w:sz w:val="32"/>
          <w:szCs w:val="32"/>
        </w:rPr>
      </w:pPr>
    </w:p>
    <w:p>
      <w:pPr>
        <w:spacing w:line="480" w:lineRule="auto"/>
        <w:ind w:firstLine="480" w:firstLineChars="150"/>
        <w:jc w:val="center"/>
        <w:rPr>
          <w:rFonts w:ascii="宋体" w:hAnsi="宋体" w:eastAsia="宋体" w:cs="宋体"/>
          <w:b/>
          <w:bCs/>
          <w:sz w:val="32"/>
          <w:szCs w:val="32"/>
        </w:rPr>
        <w:sectPr>
          <w:pgSz w:w="11906" w:h="16838"/>
          <w:pgMar w:top="1134" w:right="1191" w:bottom="1134" w:left="1191" w:header="851" w:footer="624" w:gutter="0"/>
          <w:cols w:space="425" w:num="1"/>
          <w:docGrid w:type="linesAndChars" w:linePitch="312" w:charSpace="0"/>
        </w:sectPr>
      </w:pPr>
    </w:p>
    <w:p>
      <w:pPr>
        <w:spacing w:line="480" w:lineRule="auto"/>
        <w:ind w:firstLine="480" w:firstLineChars="150"/>
        <w:jc w:val="center"/>
        <w:rPr>
          <w:rFonts w:ascii="宋体" w:hAnsi="宋体" w:eastAsia="宋体" w:cs="宋体"/>
          <w:b/>
          <w:bCs/>
          <w:sz w:val="32"/>
          <w:szCs w:val="32"/>
        </w:rPr>
      </w:pPr>
      <w:r>
        <w:rPr>
          <w:rFonts w:hint="eastAsia" w:ascii="宋体" w:hAnsi="宋体" w:eastAsia="宋体" w:cs="宋体"/>
          <w:b/>
          <w:bCs/>
          <w:sz w:val="32"/>
          <w:szCs w:val="32"/>
        </w:rPr>
        <w:t>资 格 性 检 查 表</w:t>
      </w:r>
    </w:p>
    <w:p>
      <w:pPr>
        <w:spacing w:line="500" w:lineRule="exact"/>
        <w:ind w:firstLine="360" w:firstLineChars="150"/>
        <w:jc w:val="center"/>
        <w:rPr>
          <w:rFonts w:ascii="宋体" w:hAnsi="宋体" w:eastAsia="宋体" w:cs="宋体"/>
          <w:b/>
          <w:bCs/>
          <w:sz w:val="24"/>
          <w:szCs w:val="24"/>
        </w:rPr>
      </w:pPr>
    </w:p>
    <w:p>
      <w:pPr>
        <w:spacing w:line="360" w:lineRule="auto"/>
        <w:ind w:left="5123" w:leftChars="-75" w:right="-205" w:rightChars="-98" w:hanging="5280" w:hangingChars="2200"/>
        <w:rPr>
          <w:rFonts w:ascii="宋体" w:hAnsi="宋体" w:eastAsia="宋体" w:cs="宋体"/>
          <w:sz w:val="24"/>
          <w:szCs w:val="24"/>
        </w:rPr>
      </w:pPr>
      <w:r>
        <w:rPr>
          <w:rFonts w:hint="eastAsia" w:ascii="宋体" w:hAnsi="宋体" w:eastAsia="宋体" w:cs="宋体"/>
          <w:sz w:val="24"/>
          <w:szCs w:val="24"/>
        </w:rPr>
        <w:t xml:space="preserve"> 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项目名称：</w:t>
      </w:r>
      <w:r>
        <w:rPr>
          <w:rFonts w:hint="eastAsia" w:ascii="宋体" w:hAnsi="宋体" w:eastAsia="宋体" w:cs="宋体"/>
          <w:bCs/>
          <w:sz w:val="24"/>
          <w:szCs w:val="24"/>
          <w:u w:val="single"/>
          <w:lang w:val="zh-CN"/>
        </w:rPr>
        <w:t xml:space="preserve">                      </w:t>
      </w:r>
    </w:p>
    <w:tbl>
      <w:tblPr>
        <w:tblStyle w:val="26"/>
        <w:tblW w:w="9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43"/>
        <w:gridCol w:w="1900"/>
        <w:gridCol w:w="2150"/>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886"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543" w:type="dxa"/>
            <w:tcBorders>
              <w:tl2br w:val="single" w:color="auto" w:sz="4" w:space="0"/>
            </w:tcBorders>
          </w:tcPr>
          <w:p>
            <w:pPr>
              <w:jc w:val="center"/>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-17780</wp:posOffset>
                      </wp:positionV>
                      <wp:extent cx="635" cy="0"/>
                      <wp:effectExtent l="0" t="0" r="0" b="0"/>
                      <wp:wrapNone/>
                      <wp:docPr id="14"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pt;width:0.05pt;z-index:251681792;mso-width-relative:page;mso-height-relative:page;" filled="f" stroked="t" coordsize="21600,21600" o:gfxdata="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7XtE0AAAAAMBAAAPAAAAAAAAAAEAIAAAACIAAABkcnMvZG93bnJldi54bWxQSwECFAAUAAAACACH&#10;TuJAiK7FKboBAACKAwAADgAAAAAAAAABACAAAAAfAQAAZHJzL2Uyb0RvYy54bWxQSwUGAAAAAAYA&#10;BgBZAQAASwUAAAAA&#10;">
                      <v:fill on="f" focussize="0,0"/>
                      <v:stroke color="#000000" joinstyle="round"/>
                      <v:imagedata o:title=""/>
                      <o:lock v:ext="edit" aspectratio="f"/>
                    </v:line>
                  </w:pict>
                </mc:Fallback>
              </mc:AlternateContent>
            </w:r>
            <w:r>
              <w:rPr>
                <w:rFonts w:ascii="宋体" w:hAnsi="宋体" w:eastAsia="宋体" w:cs="宋体"/>
                <w:sz w:val="24"/>
                <w:szCs w:val="24"/>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0</wp:posOffset>
                      </wp:positionV>
                      <wp:extent cx="635" cy="0"/>
                      <wp:effectExtent l="0" t="0" r="0" b="0"/>
                      <wp:wrapNone/>
                      <wp:docPr id="13" name="Line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pt;width:0.05pt;z-index:251680768;mso-width-relative:page;mso-height-relative:page;" filled="f" stroked="t" coordsize="21600,21600" o:gfxdata="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1//0QAAAAUBAAAPAAAAAAAAAAEAIAAAACIAAABkcnMvZG93bnJldi54bWxQSwECFAAUAAAACACH&#10;TuJAYo8fvbkBAACKAwAADgAAAAAAAAABACAAAAAgAQAAZHJzL2Uyb0RvYy54bWxQSwUGAAAAAAYA&#10;BgBZAQAASwU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供应商</w:t>
            </w:r>
          </w:p>
          <w:p>
            <w:pPr>
              <w:rPr>
                <w:rFonts w:ascii="宋体" w:hAnsi="宋体" w:eastAsia="宋体" w:cs="宋体"/>
                <w:sz w:val="24"/>
                <w:szCs w:val="24"/>
              </w:rPr>
            </w:pPr>
          </w:p>
          <w:p>
            <w:pPr>
              <w:ind w:firstLine="240" w:firstLineChars="100"/>
              <w:rPr>
                <w:rFonts w:ascii="宋体" w:hAnsi="宋体" w:eastAsia="宋体" w:cs="宋体"/>
                <w:sz w:val="24"/>
                <w:szCs w:val="24"/>
              </w:rPr>
            </w:pPr>
            <w:r>
              <w:rPr>
                <w:rFonts w:hint="eastAsia" w:ascii="宋体" w:hAnsi="宋体" w:eastAsia="宋体" w:cs="宋体"/>
                <w:sz w:val="24"/>
                <w:szCs w:val="24"/>
              </w:rPr>
              <w:t>内容</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ascii="宋体" w:hAnsi="宋体" w:cs="宋体"/>
                <w:sz w:val="24"/>
                <w:szCs w:val="24"/>
              </w:rPr>
              <w:t>1</w:t>
            </w:r>
          </w:p>
        </w:tc>
        <w:tc>
          <w:tcPr>
            <w:tcW w:w="2543" w:type="dxa"/>
            <w:vAlign w:val="center"/>
          </w:tcPr>
          <w:p>
            <w:pPr>
              <w:jc w:val="center"/>
              <w:rPr>
                <w:rFonts w:ascii="宋体" w:cs="Times New Roman"/>
                <w:sz w:val="24"/>
                <w:szCs w:val="24"/>
              </w:rPr>
            </w:pPr>
            <w:r>
              <w:rPr>
                <w:rFonts w:hint="eastAsia" w:ascii="宋体" w:hAnsi="宋体" w:cs="宋体"/>
                <w:sz w:val="24"/>
                <w:szCs w:val="24"/>
              </w:rPr>
              <w:t>近2年经审计的</w:t>
            </w:r>
          </w:p>
          <w:p>
            <w:pPr>
              <w:jc w:val="center"/>
              <w:rPr>
                <w:rFonts w:ascii="宋体" w:hAnsi="宋体" w:eastAsia="宋体" w:cs="宋体"/>
                <w:sz w:val="24"/>
                <w:szCs w:val="24"/>
              </w:rPr>
            </w:pPr>
            <w:r>
              <w:rPr>
                <w:rFonts w:hint="eastAsia" w:ascii="宋体" w:hAnsi="宋体" w:cs="宋体"/>
                <w:sz w:val="24"/>
                <w:szCs w:val="24"/>
              </w:rPr>
              <w:t>财务报告或资信证明</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ascii="宋体" w:hAnsi="宋体" w:cs="宋体"/>
                <w:sz w:val="24"/>
                <w:szCs w:val="24"/>
              </w:rPr>
              <w:t>2</w:t>
            </w:r>
          </w:p>
        </w:tc>
        <w:tc>
          <w:tcPr>
            <w:tcW w:w="2543" w:type="dxa"/>
            <w:vAlign w:val="center"/>
          </w:tcPr>
          <w:p>
            <w:pPr>
              <w:jc w:val="center"/>
              <w:rPr>
                <w:rFonts w:ascii="宋体" w:cs="Times New Roman"/>
                <w:sz w:val="24"/>
                <w:szCs w:val="24"/>
              </w:rPr>
            </w:pPr>
            <w:r>
              <w:rPr>
                <w:rFonts w:hint="eastAsia" w:ascii="宋体" w:hAnsi="宋体" w:cs="宋体"/>
                <w:sz w:val="24"/>
                <w:szCs w:val="24"/>
              </w:rPr>
              <w:t>近</w:t>
            </w:r>
            <w:r>
              <w:rPr>
                <w:rFonts w:ascii="宋体" w:hAnsi="宋体" w:cs="宋体"/>
                <w:sz w:val="24"/>
                <w:szCs w:val="24"/>
              </w:rPr>
              <w:t>3</w:t>
            </w:r>
            <w:r>
              <w:rPr>
                <w:rFonts w:hint="eastAsia" w:ascii="宋体" w:hAnsi="宋体" w:cs="宋体"/>
                <w:sz w:val="24"/>
                <w:szCs w:val="24"/>
              </w:rPr>
              <w:t>个月相关部门</w:t>
            </w:r>
          </w:p>
          <w:p>
            <w:pPr>
              <w:jc w:val="center"/>
              <w:rPr>
                <w:rFonts w:ascii="宋体" w:cs="Times New Roman"/>
                <w:sz w:val="24"/>
                <w:szCs w:val="24"/>
              </w:rPr>
            </w:pPr>
            <w:r>
              <w:rPr>
                <w:rFonts w:hint="eastAsia" w:ascii="宋体" w:hAnsi="宋体" w:cs="宋体"/>
                <w:sz w:val="24"/>
                <w:szCs w:val="24"/>
              </w:rPr>
              <w:t>出具的纳税证明及</w:t>
            </w:r>
          </w:p>
          <w:p>
            <w:pPr>
              <w:jc w:val="center"/>
              <w:rPr>
                <w:rFonts w:ascii="宋体" w:hAnsi="宋体" w:eastAsia="宋体" w:cs="宋体"/>
                <w:sz w:val="24"/>
                <w:szCs w:val="24"/>
              </w:rPr>
            </w:pPr>
            <w:r>
              <w:rPr>
                <w:rFonts w:hint="eastAsia" w:ascii="宋体" w:hAnsi="宋体" w:cs="宋体"/>
                <w:sz w:val="24"/>
                <w:szCs w:val="24"/>
              </w:rPr>
              <w:t>社保证明</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ascii="宋体" w:hAnsi="宋体" w:cs="宋体"/>
                <w:sz w:val="24"/>
                <w:szCs w:val="24"/>
              </w:rPr>
              <w:t>3</w:t>
            </w:r>
          </w:p>
        </w:tc>
        <w:tc>
          <w:tcPr>
            <w:tcW w:w="2543" w:type="dxa"/>
            <w:vAlign w:val="center"/>
          </w:tcPr>
          <w:p>
            <w:pPr>
              <w:jc w:val="center"/>
              <w:rPr>
                <w:rFonts w:ascii="宋体" w:cs="Times New Roman"/>
                <w:sz w:val="24"/>
                <w:szCs w:val="24"/>
              </w:rPr>
            </w:pPr>
            <w:r>
              <w:rPr>
                <w:rFonts w:hint="eastAsia" w:ascii="宋体" w:hAnsi="宋体" w:cs="宋体"/>
                <w:sz w:val="24"/>
                <w:szCs w:val="24"/>
              </w:rPr>
              <w:t>自行出具的无重大</w:t>
            </w:r>
          </w:p>
          <w:p>
            <w:pPr>
              <w:jc w:val="center"/>
              <w:rPr>
                <w:rFonts w:ascii="宋体" w:hAnsi="宋体" w:eastAsia="宋体" w:cs="宋体"/>
                <w:sz w:val="24"/>
                <w:szCs w:val="24"/>
              </w:rPr>
            </w:pPr>
            <w:r>
              <w:rPr>
                <w:rFonts w:hint="eastAsia" w:ascii="宋体" w:hAnsi="宋体" w:cs="宋体"/>
                <w:sz w:val="24"/>
                <w:szCs w:val="24"/>
              </w:rPr>
              <w:t>违法记录承诺函</w:t>
            </w:r>
          </w:p>
        </w:tc>
        <w:tc>
          <w:tcPr>
            <w:tcW w:w="1900"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c>
          <w:tcPr>
            <w:tcW w:w="2150"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c>
          <w:tcPr>
            <w:tcW w:w="2152"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543" w:type="dxa"/>
            <w:vAlign w:val="center"/>
          </w:tcPr>
          <w:p>
            <w:pPr>
              <w:ind w:firstLine="240" w:firstLineChars="100"/>
              <w:rPr>
                <w:rFonts w:ascii="宋体" w:cs="Times New Roman"/>
                <w:sz w:val="24"/>
                <w:szCs w:val="24"/>
              </w:rPr>
            </w:pPr>
            <w:r>
              <w:rPr>
                <w:rFonts w:hint="eastAsia" w:ascii="宋体" w:hAnsi="宋体" w:cs="宋体"/>
                <w:sz w:val="24"/>
                <w:szCs w:val="24"/>
              </w:rPr>
              <w:t>“信用中国”网站及</w:t>
            </w:r>
          </w:p>
          <w:p>
            <w:pPr>
              <w:jc w:val="center"/>
              <w:rPr>
                <w:rFonts w:ascii="宋体" w:cs="Times New Roman"/>
                <w:sz w:val="24"/>
                <w:szCs w:val="24"/>
              </w:rPr>
            </w:pPr>
            <w:r>
              <w:rPr>
                <w:rFonts w:hint="eastAsia" w:ascii="宋体" w:hAnsi="宋体" w:cs="宋体"/>
                <w:sz w:val="24"/>
                <w:szCs w:val="24"/>
              </w:rPr>
              <w:t>中国政府采购网的</w:t>
            </w:r>
          </w:p>
          <w:p>
            <w:pPr>
              <w:jc w:val="center"/>
              <w:rPr>
                <w:rFonts w:ascii="宋体" w:hAnsi="宋体" w:eastAsia="宋体" w:cs="宋体"/>
                <w:sz w:val="24"/>
                <w:szCs w:val="24"/>
              </w:rPr>
            </w:pPr>
            <w:r>
              <w:rPr>
                <w:rFonts w:hint="eastAsia" w:ascii="宋体" w:hAnsi="宋体" w:cs="宋体"/>
                <w:sz w:val="24"/>
                <w:szCs w:val="24"/>
              </w:rPr>
              <w:t>无不良查询记录</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543" w:type="dxa"/>
            <w:vAlign w:val="center"/>
          </w:tcPr>
          <w:p>
            <w:pPr>
              <w:jc w:val="center"/>
              <w:rPr>
                <w:rFonts w:ascii="宋体" w:hAnsi="宋体" w:eastAsia="宋体" w:cs="宋体"/>
                <w:sz w:val="24"/>
                <w:szCs w:val="24"/>
              </w:rPr>
            </w:pPr>
            <w:r>
              <w:rPr>
                <w:rFonts w:ascii="宋体" w:hAnsi="宋体" w:cs="宋体"/>
                <w:sz w:val="24"/>
                <w:szCs w:val="24"/>
              </w:rPr>
              <w:t xml:space="preserve"> </w:t>
            </w:r>
            <w:r>
              <w:rPr>
                <w:rFonts w:hint="eastAsia" w:ascii="宋体" w:hAnsi="宋体" w:cs="宋体"/>
                <w:sz w:val="24"/>
                <w:szCs w:val="24"/>
              </w:rPr>
              <w:t>非联合体投标</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886"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2543" w:type="dxa"/>
            <w:vAlign w:val="center"/>
          </w:tcPr>
          <w:p>
            <w:pPr>
              <w:jc w:val="center"/>
              <w:rPr>
                <w:rFonts w:ascii="宋体" w:hAnsi="宋体" w:eastAsia="宋体" w:cs="宋体"/>
                <w:sz w:val="24"/>
                <w:szCs w:val="24"/>
              </w:rPr>
            </w:pPr>
            <w:r>
              <w:rPr>
                <w:rFonts w:hint="eastAsia" w:ascii="宋体" w:hAnsi="宋体" w:cs="宋体"/>
                <w:sz w:val="24"/>
                <w:szCs w:val="24"/>
              </w:rPr>
              <w:t>其他</w:t>
            </w:r>
          </w:p>
        </w:tc>
        <w:tc>
          <w:tcPr>
            <w:tcW w:w="1900" w:type="dxa"/>
            <w:vAlign w:val="center"/>
          </w:tcPr>
          <w:p>
            <w:pPr>
              <w:jc w:val="center"/>
              <w:rPr>
                <w:rFonts w:ascii="宋体" w:hAnsi="宋体" w:eastAsia="宋体" w:cs="宋体"/>
                <w:sz w:val="24"/>
                <w:szCs w:val="24"/>
              </w:rPr>
            </w:pPr>
          </w:p>
        </w:tc>
        <w:tc>
          <w:tcPr>
            <w:tcW w:w="2150" w:type="dxa"/>
            <w:vAlign w:val="center"/>
          </w:tcPr>
          <w:p>
            <w:pPr>
              <w:jc w:val="center"/>
              <w:rPr>
                <w:rFonts w:ascii="宋体" w:hAnsi="宋体" w:eastAsia="宋体" w:cs="宋体"/>
                <w:sz w:val="24"/>
                <w:szCs w:val="24"/>
              </w:rPr>
            </w:pPr>
          </w:p>
        </w:tc>
        <w:tc>
          <w:tcPr>
            <w:tcW w:w="2152"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3429"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结论</w:t>
            </w:r>
          </w:p>
        </w:tc>
        <w:tc>
          <w:tcPr>
            <w:tcW w:w="1900"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c>
          <w:tcPr>
            <w:tcW w:w="2150"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c>
          <w:tcPr>
            <w:tcW w:w="2152"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w:t>
            </w:r>
          </w:p>
        </w:tc>
      </w:tr>
    </w:tbl>
    <w:p>
      <w:pPr>
        <w:spacing w:line="720" w:lineRule="auto"/>
        <w:ind w:left="23" w:leftChars="-75" w:hanging="180" w:hangingChars="75"/>
        <w:rPr>
          <w:rFonts w:ascii="宋体" w:hAnsi="宋体" w:eastAsia="宋体" w:cs="宋体"/>
          <w:sz w:val="24"/>
          <w:szCs w:val="24"/>
        </w:rPr>
      </w:pPr>
      <w:r>
        <w:rPr>
          <w:rFonts w:hint="eastAsia" w:ascii="宋体" w:hAnsi="宋体" w:eastAsia="宋体" w:cs="宋体"/>
          <w:sz w:val="24"/>
          <w:szCs w:val="24"/>
        </w:rPr>
        <w:t>审核人签名：                                                   年   月   日</w:t>
      </w:r>
    </w:p>
    <w:p>
      <w:pPr>
        <w:ind w:left="47" w:leftChars="-75" w:hanging="204" w:hangingChars="85"/>
        <w:rPr>
          <w:rFonts w:ascii="宋体" w:hAnsi="宋体" w:eastAsia="宋体" w:cs="宋体"/>
          <w:sz w:val="24"/>
          <w:szCs w:val="24"/>
        </w:rPr>
      </w:pPr>
      <w:r>
        <w:rPr>
          <w:rFonts w:hint="eastAsia" w:ascii="宋体" w:hAnsi="宋体" w:eastAsia="宋体" w:cs="宋体"/>
          <w:sz w:val="24"/>
          <w:szCs w:val="24"/>
        </w:rPr>
        <w:t>注：</w:t>
      </w:r>
    </w:p>
    <w:p>
      <w:pPr>
        <w:ind w:left="47" w:leftChars="-75" w:hanging="204" w:hangingChars="85"/>
        <w:rPr>
          <w:rFonts w:ascii="宋体" w:hAnsi="宋体" w:eastAsia="宋体" w:cs="宋体"/>
          <w:sz w:val="24"/>
          <w:szCs w:val="24"/>
        </w:rPr>
      </w:pPr>
      <w:r>
        <w:rPr>
          <w:rFonts w:hint="eastAsia" w:ascii="宋体" w:hAnsi="宋体" w:eastAsia="宋体" w:cs="宋体"/>
          <w:sz w:val="24"/>
          <w:szCs w:val="24"/>
        </w:rPr>
        <w:t>1. 表中项只需填写“√”或“×”。</w:t>
      </w:r>
    </w:p>
    <w:p>
      <w:pPr>
        <w:ind w:left="47" w:leftChars="-75" w:hanging="204" w:hangingChars="85"/>
        <w:rPr>
          <w:rFonts w:ascii="宋体" w:hAnsi="宋体" w:eastAsia="宋体" w:cs="宋体"/>
          <w:sz w:val="24"/>
          <w:szCs w:val="24"/>
          <w:lang w:val="zh-CN"/>
        </w:rPr>
      </w:pPr>
      <w:r>
        <w:rPr>
          <w:rFonts w:hint="eastAsia" w:ascii="宋体" w:hAnsi="宋体" w:eastAsia="宋体" w:cs="宋体"/>
          <w:sz w:val="24"/>
          <w:szCs w:val="24"/>
        </w:rPr>
        <w:t>2. 在结论栏中填写“合格”或“不合格”。</w:t>
      </w:r>
    </w:p>
    <w:p>
      <w:pPr>
        <w:rPr>
          <w:rFonts w:ascii="宋体" w:hAnsi="宋体" w:eastAsia="宋体" w:cs="宋体"/>
        </w:rPr>
      </w:pPr>
      <w:r>
        <w:rPr>
          <w:rFonts w:hint="eastAsia" w:ascii="宋体" w:hAnsi="宋体" w:eastAsia="宋体" w:cs="宋体"/>
        </w:rPr>
        <w:br w:type="page"/>
      </w:r>
    </w:p>
    <w:p>
      <w:pPr>
        <w:pStyle w:val="2"/>
        <w:numPr>
          <w:ilvl w:val="0"/>
          <w:numId w:val="1"/>
        </w:numPr>
        <w:jc w:val="center"/>
        <w:rPr>
          <w:rFonts w:ascii="宋体" w:hAnsi="宋体" w:eastAsia="宋体" w:cs="宋体"/>
        </w:rPr>
      </w:pPr>
      <w:bookmarkStart w:id="48" w:name="_Toc495848909"/>
      <w:r>
        <w:rPr>
          <w:rFonts w:hint="eastAsia" w:ascii="宋体" w:hAnsi="宋体" w:eastAsia="宋体" w:cs="宋体"/>
        </w:rPr>
        <w:t>评标方法、程序及标准</w:t>
      </w:r>
      <w:bookmarkEnd w:id="48"/>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根据《政府采购法》、《政府采购法实施条例》、《政府采购货物和服务招标投标管理办法》等相关法律法规确定以下评标办法、程序及标准。</w:t>
      </w:r>
    </w:p>
    <w:p>
      <w:pPr>
        <w:pStyle w:val="3"/>
        <w:numPr>
          <w:ilvl w:val="0"/>
          <w:numId w:val="45"/>
        </w:numPr>
        <w:spacing w:before="0" w:after="0" w:line="360" w:lineRule="auto"/>
        <w:ind w:left="616" w:hanging="616"/>
        <w:jc w:val="left"/>
        <w:rPr>
          <w:rFonts w:ascii="宋体" w:hAnsi="宋体" w:eastAsia="宋体" w:cs="宋体"/>
          <w:bCs w:val="0"/>
          <w:sz w:val="30"/>
          <w:szCs w:val="30"/>
          <w:lang w:val="zh-CN"/>
        </w:rPr>
      </w:pPr>
      <w:bookmarkStart w:id="49" w:name="_Toc272247708"/>
      <w:bookmarkStart w:id="50" w:name="_Toc278891605"/>
      <w:bookmarkStart w:id="51" w:name="_Toc494561961"/>
      <w:bookmarkStart w:id="52" w:name="_Toc495848910"/>
      <w:r>
        <w:rPr>
          <w:rFonts w:hint="eastAsia" w:ascii="宋体" w:hAnsi="宋体" w:eastAsia="宋体" w:cs="宋体"/>
          <w:bCs w:val="0"/>
          <w:sz w:val="30"/>
          <w:szCs w:val="30"/>
          <w:lang w:val="zh-CN"/>
        </w:rPr>
        <w:t>评标</w:t>
      </w:r>
      <w:bookmarkEnd w:id="49"/>
      <w:bookmarkEnd w:id="50"/>
      <w:r>
        <w:rPr>
          <w:rFonts w:hint="eastAsia" w:ascii="宋体" w:hAnsi="宋体" w:eastAsia="宋体" w:cs="宋体"/>
          <w:bCs w:val="0"/>
          <w:sz w:val="30"/>
          <w:szCs w:val="30"/>
          <w:lang w:val="zh-CN"/>
        </w:rPr>
        <w:t>方法</w:t>
      </w:r>
      <w:bookmarkEnd w:id="51"/>
      <w:bookmarkEnd w:id="52"/>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本项目评标采用综合评分法，是指投标文件满足招标文件全部实质性要求，且按照评审因素的量化指标评审得分最高的供应商为中标候选人的评标方法。</w:t>
      </w:r>
    </w:p>
    <w:p>
      <w:pPr>
        <w:pStyle w:val="3"/>
        <w:numPr>
          <w:ilvl w:val="0"/>
          <w:numId w:val="45"/>
        </w:numPr>
        <w:spacing w:before="0" w:after="0" w:line="360" w:lineRule="auto"/>
        <w:ind w:left="616" w:hanging="616"/>
        <w:jc w:val="left"/>
        <w:rPr>
          <w:rFonts w:ascii="宋体" w:hAnsi="宋体" w:eastAsia="宋体" w:cs="宋体"/>
          <w:bCs w:val="0"/>
          <w:sz w:val="30"/>
          <w:szCs w:val="30"/>
          <w:lang w:val="zh-CN"/>
        </w:rPr>
      </w:pPr>
      <w:bookmarkStart w:id="53" w:name="_Toc278891606"/>
      <w:bookmarkStart w:id="54" w:name="_Toc272247709"/>
      <w:bookmarkStart w:id="55" w:name="_Toc494561962"/>
      <w:bookmarkStart w:id="56" w:name="_Toc495848911"/>
      <w:r>
        <w:rPr>
          <w:rFonts w:hint="eastAsia" w:ascii="宋体" w:hAnsi="宋体" w:eastAsia="宋体" w:cs="宋体"/>
          <w:bCs w:val="0"/>
          <w:sz w:val="30"/>
          <w:szCs w:val="30"/>
          <w:lang w:val="zh-CN"/>
        </w:rPr>
        <w:t>评标程序</w:t>
      </w:r>
      <w:bookmarkEnd w:id="53"/>
      <w:bookmarkEnd w:id="54"/>
      <w:r>
        <w:rPr>
          <w:rFonts w:hint="eastAsia" w:ascii="宋体" w:hAnsi="宋体" w:eastAsia="宋体" w:cs="宋体"/>
          <w:bCs w:val="0"/>
          <w:sz w:val="30"/>
          <w:szCs w:val="30"/>
          <w:lang w:val="zh-CN"/>
        </w:rPr>
        <w:t>及标准</w:t>
      </w:r>
      <w:bookmarkEnd w:id="55"/>
      <w:bookmarkEnd w:id="56"/>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评标委员会按以下工作程序进行评标：</w:t>
      </w:r>
      <w:r>
        <w:rPr>
          <w:rFonts w:hint="eastAsia" w:ascii="宋体" w:hAnsi="宋体" w:eastAsia="宋体" w:cs="宋体"/>
          <w:sz w:val="24"/>
          <w:szCs w:val="20"/>
          <w:lang w:val="zh-CN"/>
        </w:rPr>
        <w:t>符合性审查、澄清有关问题、综合比较和评价、确定中标候选人名单。</w:t>
      </w:r>
    </w:p>
    <w:p>
      <w:pPr>
        <w:numPr>
          <w:ilvl w:val="0"/>
          <w:numId w:val="46"/>
        </w:numPr>
        <w:ind w:left="1311" w:leftChars="154" w:hanging="988" w:hangingChars="353"/>
        <w:rPr>
          <w:rFonts w:ascii="宋体" w:hAnsi="宋体" w:eastAsia="宋体" w:cs="宋体"/>
          <w:strike/>
          <w:sz w:val="28"/>
          <w:szCs w:val="28"/>
          <w:lang w:val="zh-CN"/>
        </w:rPr>
      </w:pPr>
      <w:r>
        <w:rPr>
          <w:rFonts w:hint="eastAsia" w:ascii="宋体" w:hAnsi="宋体" w:eastAsia="宋体" w:cs="宋体"/>
          <w:b/>
          <w:sz w:val="28"/>
          <w:szCs w:val="28"/>
          <w:lang w:val="zh-CN"/>
        </w:rPr>
        <w:t>符合性审查</w:t>
      </w:r>
    </w:p>
    <w:p>
      <w:pPr>
        <w:spacing w:line="360" w:lineRule="auto"/>
        <w:ind w:firstLine="470" w:firstLineChars="196"/>
        <w:rPr>
          <w:rFonts w:ascii="宋体" w:hAnsi="宋体" w:eastAsia="宋体" w:cs="宋体"/>
          <w:bCs/>
          <w:sz w:val="24"/>
          <w:szCs w:val="20"/>
          <w:lang w:val="zh-CN"/>
        </w:rPr>
      </w:pPr>
      <w:r>
        <w:rPr>
          <w:rFonts w:hint="eastAsia" w:ascii="宋体" w:hAnsi="宋体" w:eastAsia="宋体" w:cs="宋体"/>
          <w:kern w:val="0"/>
          <w:sz w:val="24"/>
          <w:szCs w:val="24"/>
          <w:lang w:val="zh-CN"/>
        </w:rPr>
        <w:t>评标委员会应当对符合资格的供应商的投标文件进行符合性审查，以确定其是否满足招标文件的实质性要求。</w:t>
      </w:r>
      <w:r>
        <w:rPr>
          <w:rFonts w:hint="eastAsia" w:ascii="宋体" w:hAnsi="宋体" w:eastAsia="宋体" w:cs="宋体"/>
          <w:bCs/>
          <w:sz w:val="24"/>
          <w:szCs w:val="20"/>
          <w:lang w:val="zh-CN"/>
        </w:rPr>
        <w:t>符合性审查出现下列情形之一的投标按照</w:t>
      </w:r>
      <w:r>
        <w:rPr>
          <w:rFonts w:hint="eastAsia" w:ascii="宋体" w:hAnsi="宋体" w:eastAsia="宋体" w:cs="宋体"/>
          <w:b/>
          <w:bCs/>
          <w:sz w:val="24"/>
          <w:szCs w:val="20"/>
          <w:lang w:val="zh-CN"/>
        </w:rPr>
        <w:t>无效投标处理</w:t>
      </w:r>
      <w:r>
        <w:rPr>
          <w:rFonts w:hint="eastAsia" w:ascii="宋体" w:hAnsi="宋体" w:eastAsia="宋体" w:cs="宋体"/>
          <w:bCs/>
          <w:sz w:val="24"/>
          <w:szCs w:val="20"/>
          <w:lang w:val="zh-CN"/>
        </w:rPr>
        <w:t>：</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投标总报价超过项目（分包）预算金额或最高限价的；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《投标书》、《法定代表人授权书》、《开标一览表》、《投标报价明细表》未提供或不符合招标文件要求的；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工期（服务期限）、质保期不符合招标文件要求的；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投标保证金的交纳不符合招标文件要求的；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出现两个或两个以上不同报价的；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出现两个或两个以上投标方案的（招标文件中要求提供备选方案的除外）；</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投标报价存在缺项、漏项的；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投标有效期不足的；</w:t>
      </w:r>
    </w:p>
    <w:p>
      <w:pPr>
        <w:numPr>
          <w:ilvl w:val="0"/>
          <w:numId w:val="47"/>
        </w:numPr>
        <w:tabs>
          <w:tab w:val="left" w:pos="61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无法定代表人签字（签章）或签字（签章）人无法定代表人有效授权的；</w:t>
      </w:r>
    </w:p>
    <w:p>
      <w:pPr>
        <w:numPr>
          <w:ilvl w:val="0"/>
          <w:numId w:val="47"/>
        </w:numPr>
        <w:tabs>
          <w:tab w:val="left" w:pos="756"/>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正本未按要求提供加盖公章及签字（签章）原件的；</w:t>
      </w:r>
    </w:p>
    <w:p>
      <w:pPr>
        <w:numPr>
          <w:ilvl w:val="0"/>
          <w:numId w:val="47"/>
        </w:numPr>
        <w:tabs>
          <w:tab w:val="left" w:pos="742"/>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招标文件中有节能产品强制要求的，供应商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47"/>
        </w:numPr>
        <w:tabs>
          <w:tab w:val="left" w:pos="742"/>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所投货物是通过中国海关报关验放进入中国境内且产自关境外的（招标文件中注明已办理产品核准的除外）；</w:t>
      </w:r>
    </w:p>
    <w:p>
      <w:pPr>
        <w:numPr>
          <w:ilvl w:val="0"/>
          <w:numId w:val="47"/>
        </w:numPr>
        <w:tabs>
          <w:tab w:val="left" w:pos="742"/>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未提供所投货物（工程或服务）的具体参数值或功能表述，或原文复制招标文件的技术规格相关部分内容作为其投标文件的一部分的；</w:t>
      </w:r>
    </w:p>
    <w:p>
      <w:pPr>
        <w:numPr>
          <w:ilvl w:val="0"/>
          <w:numId w:val="47"/>
        </w:numPr>
        <w:tabs>
          <w:tab w:val="left" w:pos="742"/>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含有采购人不能接受的附加条件的；</w:t>
      </w:r>
    </w:p>
    <w:p>
      <w:pPr>
        <w:numPr>
          <w:ilvl w:val="0"/>
          <w:numId w:val="47"/>
        </w:numPr>
        <w:tabs>
          <w:tab w:val="left" w:pos="742"/>
        </w:tabs>
        <w:spacing w:line="360" w:lineRule="auto"/>
        <w:ind w:left="10" w:leftChars="5" w:firstLine="237" w:firstLineChars="99"/>
        <w:rPr>
          <w:rFonts w:ascii="宋体" w:hAnsi="宋体" w:eastAsia="宋体" w:cs="宋体"/>
          <w:sz w:val="24"/>
          <w:szCs w:val="24"/>
          <w:lang w:val="zh-CN"/>
        </w:rPr>
      </w:pPr>
      <w:r>
        <w:rPr>
          <w:rFonts w:hint="eastAsia" w:ascii="宋体" w:hAnsi="宋体" w:eastAsia="宋体" w:cs="宋体"/>
          <w:sz w:val="24"/>
          <w:szCs w:val="24"/>
          <w:lang w:val="zh-CN"/>
        </w:rPr>
        <w:t>法律、法规和招标文件规定的其他无效投标情形。</w:t>
      </w:r>
    </w:p>
    <w:p>
      <w:pPr>
        <w:numPr>
          <w:ilvl w:val="0"/>
          <w:numId w:val="46"/>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澄清有关问题</w:t>
      </w:r>
    </w:p>
    <w:p>
      <w:pPr>
        <w:numPr>
          <w:ilvl w:val="0"/>
          <w:numId w:val="48"/>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评标期间，对于投标文件中含义不明确、同类问题表述不一致或者有明显文字和计算错误的内容，评标委员会应当以书面形式要求供应商作出必要的澄清、说明或者补正。</w:t>
      </w:r>
    </w:p>
    <w:p>
      <w:pPr>
        <w:numPr>
          <w:ilvl w:val="0"/>
          <w:numId w:val="48"/>
        </w:numPr>
        <w:tabs>
          <w:tab w:val="left" w:pos="616"/>
        </w:tabs>
        <w:spacing w:line="360" w:lineRule="auto"/>
        <w:ind w:left="10" w:leftChars="5" w:firstLine="237" w:firstLineChars="99"/>
        <w:rPr>
          <w:rFonts w:ascii="宋体" w:hAnsi="宋体" w:eastAsia="宋体" w:cs="宋体"/>
          <w:bCs/>
          <w:strike/>
          <w:sz w:val="24"/>
          <w:szCs w:val="20"/>
          <w:lang w:val="zh-CN"/>
        </w:rPr>
      </w:pPr>
      <w:r>
        <w:rPr>
          <w:rFonts w:hint="eastAsia" w:ascii="宋体" w:hAnsi="宋体" w:eastAsia="宋体" w:cs="宋体"/>
          <w:bCs/>
          <w:sz w:val="24"/>
          <w:szCs w:val="20"/>
          <w:lang w:val="zh-CN"/>
        </w:rPr>
        <w:t>供应商应按照评标委员会要求的澄清内容在规定时间内做出澄清。</w:t>
      </w:r>
      <w:r>
        <w:rPr>
          <w:rFonts w:hint="eastAsia" w:ascii="宋体" w:hAnsi="宋体" w:eastAsia="宋体" w:cs="宋体"/>
          <w:sz w:val="24"/>
          <w:szCs w:val="20"/>
          <w:lang w:val="zh-CN"/>
        </w:rPr>
        <w:t>投标文件报价出现前后不一致的，按照本节第3</w:t>
      </w:r>
      <w:r>
        <w:rPr>
          <w:rFonts w:hint="eastAsia" w:ascii="宋体" w:hAnsi="宋体" w:eastAsia="宋体" w:cs="宋体"/>
          <w:bCs/>
          <w:sz w:val="24"/>
          <w:szCs w:val="20"/>
          <w:lang w:val="zh-CN"/>
        </w:rPr>
        <w:t>条规定进行修正，</w:t>
      </w:r>
      <w:r>
        <w:rPr>
          <w:rFonts w:hint="eastAsia" w:ascii="宋体" w:hAnsi="宋体" w:eastAsia="宋体" w:cs="宋体"/>
          <w:kern w:val="0"/>
          <w:sz w:val="24"/>
          <w:szCs w:val="24"/>
          <w:lang w:val="zh-CN"/>
        </w:rPr>
        <w:t>供应商的澄清、说明或者补正不得超出投标文件的范围或者改变投标文件的实质性内容。</w:t>
      </w:r>
    </w:p>
    <w:p>
      <w:pPr>
        <w:numPr>
          <w:ilvl w:val="0"/>
          <w:numId w:val="48"/>
        </w:numPr>
        <w:tabs>
          <w:tab w:val="left" w:pos="616"/>
        </w:tabs>
        <w:spacing w:line="360" w:lineRule="auto"/>
        <w:ind w:left="10" w:leftChars="5" w:firstLine="237" w:firstLineChars="99"/>
        <w:rPr>
          <w:rFonts w:ascii="宋体" w:hAnsi="宋体" w:eastAsia="宋体" w:cs="宋体"/>
          <w:bCs/>
          <w:sz w:val="24"/>
          <w:szCs w:val="20"/>
          <w:lang w:val="zh-CN"/>
        </w:rPr>
      </w:pPr>
      <w:r>
        <w:rPr>
          <w:rFonts w:hint="eastAsia" w:ascii="宋体" w:hAnsi="宋体" w:eastAsia="宋体" w:cs="宋体"/>
          <w:bCs/>
          <w:sz w:val="24"/>
          <w:szCs w:val="20"/>
          <w:lang w:val="zh-CN"/>
        </w:rPr>
        <w:t>投标文件报价出现前后不一致的，按照下列规定修正：</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投标文件中开标一览表内容与投标文件中相应内容不一致的，以开标一览表为准。</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大写金额和小写金额不一致的，以大写金额为准。</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单价金额小数点或者百分比有明显错位的，以开标一览表的总价为准，并修改单价。</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总价金额与按单价汇总金额不一致的，以单价金额计算结果为准。</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同时出现两种以上不一致的，按照前款规定的顺序修正。</w:t>
      </w:r>
    </w:p>
    <w:p>
      <w:pPr>
        <w:numPr>
          <w:ilvl w:val="0"/>
          <w:numId w:val="49"/>
        </w:numPr>
        <w:adjustRightInd w:val="0"/>
        <w:spacing w:line="360" w:lineRule="auto"/>
        <w:ind w:left="742" w:hanging="493"/>
        <w:rPr>
          <w:rFonts w:ascii="宋体" w:hAnsi="宋体" w:eastAsia="宋体" w:cs="宋体"/>
          <w:sz w:val="24"/>
          <w:szCs w:val="24"/>
          <w:lang w:val="zh-CN"/>
        </w:rPr>
      </w:pPr>
      <w:r>
        <w:rPr>
          <w:rFonts w:hint="eastAsia" w:ascii="宋体" w:hAnsi="宋体" w:eastAsia="宋体" w:cs="宋体"/>
          <w:sz w:val="24"/>
          <w:szCs w:val="24"/>
          <w:lang w:val="zh-CN"/>
        </w:rPr>
        <w:t>修正后的报价按照本节第4条规定经供应商确认后产生约束力，供应商不确认的，按照</w:t>
      </w:r>
      <w:r>
        <w:rPr>
          <w:rFonts w:hint="eastAsia" w:ascii="宋体" w:hAnsi="宋体" w:eastAsia="宋体" w:cs="宋体"/>
          <w:b/>
          <w:sz w:val="24"/>
          <w:szCs w:val="24"/>
          <w:lang w:val="zh-CN"/>
        </w:rPr>
        <w:t>无效投标处理</w:t>
      </w:r>
      <w:r>
        <w:rPr>
          <w:rFonts w:hint="eastAsia" w:ascii="宋体" w:hAnsi="宋体" w:eastAsia="宋体" w:cs="宋体"/>
          <w:sz w:val="24"/>
          <w:szCs w:val="24"/>
          <w:lang w:val="zh-CN"/>
        </w:rPr>
        <w:t>。</w:t>
      </w:r>
    </w:p>
    <w:p>
      <w:pPr>
        <w:numPr>
          <w:ilvl w:val="0"/>
          <w:numId w:val="48"/>
        </w:numPr>
        <w:tabs>
          <w:tab w:val="left" w:pos="616"/>
        </w:tabs>
        <w:spacing w:line="360" w:lineRule="auto"/>
        <w:ind w:left="10" w:leftChars="5" w:firstLine="237" w:firstLineChars="99"/>
        <w:rPr>
          <w:rFonts w:ascii="宋体" w:hAnsi="宋体" w:eastAsia="宋体" w:cs="宋体"/>
          <w:sz w:val="24"/>
          <w:szCs w:val="20"/>
          <w:lang w:val="zh-CN"/>
        </w:rPr>
      </w:pPr>
      <w:r>
        <w:rPr>
          <w:rFonts w:hint="eastAsia" w:ascii="宋体" w:hAnsi="宋体" w:eastAsia="宋体" w:cs="宋体"/>
          <w:sz w:val="24"/>
          <w:szCs w:val="20"/>
          <w:lang w:val="zh-CN"/>
        </w:rPr>
        <w:t>供应商的</w:t>
      </w:r>
      <w:r>
        <w:rPr>
          <w:rFonts w:hint="eastAsia" w:ascii="宋体" w:hAnsi="宋体" w:eastAsia="宋体" w:cs="宋体"/>
          <w:kern w:val="0"/>
          <w:sz w:val="24"/>
          <w:szCs w:val="24"/>
          <w:lang w:val="zh-CN"/>
        </w:rPr>
        <w:t>澄清、说明或者补正</w:t>
      </w:r>
      <w:r>
        <w:rPr>
          <w:rFonts w:hint="eastAsia" w:ascii="宋体" w:hAnsi="宋体" w:eastAsia="宋体" w:cs="宋体"/>
          <w:sz w:val="24"/>
          <w:szCs w:val="20"/>
          <w:lang w:val="zh-CN"/>
        </w:rPr>
        <w:t>是其投标文件的有效组成部分。</w:t>
      </w:r>
      <w:r>
        <w:rPr>
          <w:rFonts w:hint="eastAsia" w:ascii="宋体" w:hAnsi="宋体" w:eastAsia="宋体" w:cs="宋体"/>
          <w:kern w:val="0"/>
          <w:sz w:val="24"/>
          <w:szCs w:val="24"/>
          <w:lang w:val="zh-CN"/>
        </w:rPr>
        <w:t>供应商的澄清、说明或者补正应当采用书面形式，并加盖公章，或者由法定代表人或其授权的代表签字。</w:t>
      </w:r>
    </w:p>
    <w:p>
      <w:pPr>
        <w:numPr>
          <w:ilvl w:val="0"/>
          <w:numId w:val="46"/>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综合比较与评价</w:t>
      </w:r>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评标委员会应当按照本章中规定的评标方法和标准，对符合性审查合格的投标文件进行商务和技术、服务评估，综合比较与评价。</w:t>
      </w:r>
    </w:p>
    <w:p>
      <w:pPr>
        <w:numPr>
          <w:ilvl w:val="0"/>
          <w:numId w:val="50"/>
        </w:numPr>
        <w:tabs>
          <w:tab w:val="left" w:pos="616"/>
        </w:tabs>
        <w:spacing w:line="360" w:lineRule="auto"/>
        <w:ind w:left="10" w:leftChars="5" w:firstLine="237" w:firstLineChars="99"/>
        <w:rPr>
          <w:rFonts w:ascii="宋体" w:hAnsi="宋体" w:eastAsia="宋体" w:cs="宋体"/>
          <w:b/>
          <w:bCs/>
          <w:sz w:val="24"/>
          <w:szCs w:val="20"/>
          <w:lang w:val="zh-CN"/>
        </w:rPr>
      </w:pPr>
      <w:r>
        <w:rPr>
          <w:rFonts w:hint="eastAsia" w:ascii="宋体" w:hAnsi="宋体" w:eastAsia="宋体" w:cs="宋体"/>
          <w:b/>
          <w:bCs/>
          <w:sz w:val="24"/>
          <w:szCs w:val="20"/>
          <w:lang w:val="zh-CN"/>
        </w:rPr>
        <w:t>商务评议</w:t>
      </w:r>
    </w:p>
    <w:p>
      <w:pPr>
        <w:spacing w:line="360" w:lineRule="auto"/>
        <w:ind w:firstLine="480" w:firstLineChars="200"/>
        <w:rPr>
          <w:rFonts w:ascii="宋体" w:hAnsi="宋体" w:eastAsia="宋体" w:cs="宋体"/>
          <w:bCs/>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评标委员会对符合性审查合格的投标文件进行评议，并依据本章“评审因素及评分标准”中的商务评议进行综合比较和评分。</w:t>
      </w:r>
    </w:p>
    <w:p>
      <w:pPr>
        <w:numPr>
          <w:ilvl w:val="0"/>
          <w:numId w:val="50"/>
        </w:numPr>
        <w:tabs>
          <w:tab w:val="left" w:pos="616"/>
        </w:tabs>
        <w:spacing w:line="360" w:lineRule="auto"/>
        <w:ind w:left="10" w:leftChars="5" w:firstLine="237" w:firstLineChars="99"/>
        <w:rPr>
          <w:rFonts w:ascii="宋体" w:hAnsi="宋体" w:eastAsia="宋体" w:cs="宋体"/>
          <w:b/>
          <w:bCs/>
          <w:sz w:val="24"/>
          <w:szCs w:val="20"/>
          <w:lang w:val="zh-CN"/>
        </w:rPr>
      </w:pPr>
      <w:r>
        <w:rPr>
          <w:rFonts w:hint="eastAsia" w:ascii="宋体" w:hAnsi="宋体" w:eastAsia="宋体" w:cs="宋体"/>
          <w:b/>
          <w:bCs/>
          <w:sz w:val="24"/>
          <w:szCs w:val="20"/>
          <w:lang w:val="zh-CN"/>
        </w:rPr>
        <w:t>技术、服务评议</w:t>
      </w:r>
    </w:p>
    <w:p>
      <w:pPr>
        <w:spacing w:line="360" w:lineRule="auto"/>
        <w:ind w:firstLine="480" w:firstLineChars="200"/>
        <w:rPr>
          <w:rFonts w:ascii="宋体" w:hAnsi="宋体" w:eastAsia="宋体" w:cs="宋体"/>
          <w:kern w:val="0"/>
          <w:sz w:val="24"/>
          <w:szCs w:val="20"/>
          <w:lang w:val="zh-CN"/>
        </w:rPr>
      </w:pPr>
      <w:r>
        <w:rPr>
          <w:rFonts w:hint="eastAsia" w:ascii="宋体" w:hAnsi="宋体" w:eastAsia="宋体" w:cs="宋体"/>
          <w:bCs/>
          <w:sz w:val="24"/>
          <w:szCs w:val="20"/>
          <w:lang w:val="zh-CN"/>
        </w:rPr>
        <w:t>评标委员会对符合性审查合格的投标文件进行评议，并依据本章“评审因素及评分标准”中的技术、服务评议进行综合比较和评分。</w:t>
      </w:r>
    </w:p>
    <w:p>
      <w:pPr>
        <w:numPr>
          <w:ilvl w:val="0"/>
          <w:numId w:val="50"/>
        </w:numPr>
        <w:tabs>
          <w:tab w:val="left" w:pos="616"/>
        </w:tabs>
        <w:spacing w:line="360" w:lineRule="auto"/>
        <w:ind w:left="10" w:leftChars="5" w:firstLine="237" w:firstLineChars="99"/>
        <w:rPr>
          <w:rFonts w:ascii="宋体" w:hAnsi="宋体" w:eastAsia="宋体" w:cs="宋体"/>
          <w:b/>
          <w:bCs/>
          <w:sz w:val="24"/>
          <w:szCs w:val="20"/>
          <w:lang w:val="zh-CN"/>
        </w:rPr>
      </w:pPr>
      <w:r>
        <w:rPr>
          <w:rFonts w:hint="eastAsia" w:ascii="宋体" w:hAnsi="宋体" w:eastAsia="宋体" w:cs="宋体"/>
          <w:b/>
          <w:bCs/>
          <w:sz w:val="24"/>
          <w:szCs w:val="20"/>
          <w:lang w:val="zh-CN"/>
        </w:rPr>
        <w:t>价格评议</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评标委员会对符合性审查合格的投标文件进行价格评议（</w:t>
      </w:r>
      <w:r>
        <w:rPr>
          <w:rFonts w:hint="eastAsia" w:ascii="宋体" w:hAnsi="宋体" w:eastAsia="宋体" w:cs="宋体"/>
          <w:bCs/>
          <w:sz w:val="24"/>
          <w:szCs w:val="21"/>
          <w:lang w:val="zh-CN"/>
        </w:rPr>
        <w:t>执行国家统一定价标准和采用固定价格采购的项目，其价格不列为评审因素</w:t>
      </w:r>
      <w:r>
        <w:rPr>
          <w:rFonts w:hint="eastAsia" w:ascii="宋体" w:hAnsi="宋体" w:eastAsia="宋体" w:cs="宋体"/>
          <w:bCs/>
          <w:sz w:val="24"/>
          <w:szCs w:val="24"/>
        </w:rPr>
        <w:t>），价格分采用低价优先法计算，即满足招标文件要求且投标价格（落实政府采购政策进行价格调整的，以调整后的价格计算）最低的投标报价为评标基准价，其价格分为满分。其他供应商的价格分计算详见本章“评审因素及评分标准”中的具体计算公式。</w:t>
      </w:r>
    </w:p>
    <w:p>
      <w:pPr>
        <w:numPr>
          <w:ilvl w:val="0"/>
          <w:numId w:val="51"/>
        </w:numPr>
        <w:adjustRightInd w:val="0"/>
        <w:spacing w:line="360" w:lineRule="auto"/>
        <w:ind w:left="742" w:hanging="493"/>
        <w:rPr>
          <w:rFonts w:ascii="宋体" w:hAnsi="宋体" w:eastAsia="宋体" w:cs="宋体"/>
          <w:bCs/>
          <w:sz w:val="24"/>
          <w:szCs w:val="21"/>
          <w:lang w:val="zh-CN"/>
        </w:rPr>
      </w:pPr>
      <w:r>
        <w:rPr>
          <w:rFonts w:hint="eastAsia" w:ascii="宋体" w:hAnsi="宋体" w:eastAsia="宋体" w:cs="宋体"/>
          <w:b/>
          <w:sz w:val="24"/>
          <w:szCs w:val="24"/>
          <w:lang w:val="zh-CN"/>
        </w:rPr>
        <w:t>报价合理性说明：</w:t>
      </w:r>
      <w:r>
        <w:rPr>
          <w:rFonts w:hint="eastAsia" w:ascii="宋体" w:hAnsi="宋体" w:eastAsia="宋体" w:cs="宋体"/>
          <w:kern w:val="0"/>
          <w:sz w:val="24"/>
          <w:szCs w:val="24"/>
          <w:lang w:val="zh-CN"/>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应当将其作为</w:t>
      </w:r>
      <w:r>
        <w:rPr>
          <w:rFonts w:hint="eastAsia" w:ascii="宋体" w:hAnsi="宋体" w:eastAsia="宋体" w:cs="宋体"/>
          <w:b/>
          <w:kern w:val="0"/>
          <w:sz w:val="24"/>
          <w:szCs w:val="24"/>
          <w:lang w:val="zh-CN"/>
        </w:rPr>
        <w:t>无效投标处理</w:t>
      </w:r>
      <w:r>
        <w:rPr>
          <w:rFonts w:hint="eastAsia" w:ascii="宋体" w:hAnsi="宋体" w:eastAsia="宋体" w:cs="宋体"/>
          <w:kern w:val="0"/>
          <w:sz w:val="24"/>
          <w:szCs w:val="24"/>
          <w:lang w:val="zh-CN"/>
        </w:rPr>
        <w:t>。</w:t>
      </w:r>
    </w:p>
    <w:p>
      <w:pPr>
        <w:numPr>
          <w:ilvl w:val="0"/>
          <w:numId w:val="51"/>
        </w:numPr>
        <w:adjustRightInd w:val="0"/>
        <w:spacing w:line="360" w:lineRule="auto"/>
        <w:ind w:left="742" w:hanging="493"/>
        <w:rPr>
          <w:rFonts w:ascii="宋体" w:hAnsi="宋体" w:eastAsia="宋体" w:cs="宋体"/>
          <w:b/>
          <w:sz w:val="24"/>
          <w:szCs w:val="24"/>
          <w:lang w:val="zh-CN"/>
        </w:rPr>
      </w:pPr>
      <w:r>
        <w:rPr>
          <w:rFonts w:hint="eastAsia" w:ascii="宋体" w:hAnsi="宋体" w:eastAsia="宋体" w:cs="宋体"/>
          <w:b/>
          <w:sz w:val="24"/>
          <w:szCs w:val="24"/>
          <w:lang w:val="zh-CN"/>
        </w:rPr>
        <w:t>政府采购优先采购节能、环保产品政策、小型和微型企业、监狱企业、残疾人福利性单位价格扣除：</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采购节能产品政策：供应商提供的产品如属于政府强制采购节能产品范围，则该产品应在最新一期“节能产品政府采购清单”中。供应商所投产品如属于政府优先采购节能产品范围的，给予该项产品价格1%的扣除，用扣除后的价格参与评审。</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采购环保产品政策：供应商提供的产品列入最新一期“环境标志产品政府采购清单”的，给予该项产品价格1%的扣除，用扣除后的价格参与评审。</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宋体"/>
          <w:b/>
          <w:bCs/>
          <w:sz w:val="24"/>
          <w:szCs w:val="20"/>
          <w:lang w:val="zh-CN"/>
        </w:rPr>
        <w:t>6%</w:t>
      </w:r>
      <w:r>
        <w:rPr>
          <w:rFonts w:hint="eastAsia" w:ascii="宋体" w:hAnsi="宋体" w:eastAsia="宋体" w:cs="宋体"/>
          <w:bCs/>
          <w:sz w:val="24"/>
          <w:szCs w:val="20"/>
          <w:lang w:val="zh-CN"/>
        </w:rPr>
        <w:t>的扣除，用扣除后的价格参与评审。</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非专门面向中小企业的工程、服务类采购项目，供应商是小型和微型企业的价格给予</w:t>
      </w:r>
      <w:r>
        <w:rPr>
          <w:rFonts w:hint="eastAsia" w:ascii="宋体" w:hAnsi="宋体" w:eastAsia="宋体" w:cs="宋体"/>
          <w:b/>
          <w:bCs/>
          <w:sz w:val="24"/>
          <w:szCs w:val="20"/>
          <w:lang w:val="zh-CN"/>
        </w:rPr>
        <w:t>6%</w:t>
      </w:r>
      <w:r>
        <w:rPr>
          <w:rFonts w:hint="eastAsia" w:ascii="宋体" w:hAnsi="宋体" w:eastAsia="宋体" w:cs="宋体"/>
          <w:bCs/>
          <w:sz w:val="24"/>
          <w:szCs w:val="20"/>
          <w:lang w:val="zh-CN"/>
        </w:rPr>
        <w:t>的扣除，用扣除后的价格参与评审。</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鼓励大中型企业和其他自然人</w:t>
      </w:r>
      <w:r>
        <w:rPr>
          <w:rFonts w:hint="eastAsia" w:ascii="宋体" w:hAnsi="宋体" w:eastAsia="宋体" w:cs="宋体"/>
          <w:bCs/>
          <w:sz w:val="24"/>
          <w:szCs w:val="20"/>
        </w:rPr>
        <w:t>、法人或者其他组织与小型、微型企业组成联合体共同参加非专门面向中小企业的政府采购活动。联合协议中约定，小型、微型企业的协议合同金额占到联合体协议合同总金额</w:t>
      </w:r>
      <w:r>
        <w:rPr>
          <w:rFonts w:hint="eastAsia" w:ascii="宋体" w:hAnsi="宋体" w:eastAsia="宋体" w:cs="宋体"/>
          <w:b/>
          <w:bCs/>
          <w:sz w:val="24"/>
          <w:szCs w:val="20"/>
        </w:rPr>
        <w:t>30%</w:t>
      </w:r>
      <w:r>
        <w:rPr>
          <w:rFonts w:hint="eastAsia" w:ascii="宋体" w:hAnsi="宋体" w:eastAsia="宋体" w:cs="宋体"/>
          <w:bCs/>
          <w:sz w:val="24"/>
          <w:szCs w:val="20"/>
        </w:rPr>
        <w:t>以上的，可给予联合体</w:t>
      </w:r>
      <w:r>
        <w:rPr>
          <w:rFonts w:hint="eastAsia" w:ascii="宋体" w:hAnsi="宋体" w:eastAsia="宋体" w:cs="宋体"/>
          <w:b/>
          <w:bCs/>
          <w:sz w:val="24"/>
          <w:szCs w:val="20"/>
          <w:lang w:val="zh-CN"/>
        </w:rPr>
        <w:t>3%</w:t>
      </w:r>
      <w:r>
        <w:rPr>
          <w:rFonts w:hint="eastAsia" w:ascii="宋体" w:hAnsi="宋体" w:eastAsia="宋体" w:cs="宋体"/>
          <w:bCs/>
          <w:sz w:val="24"/>
          <w:szCs w:val="20"/>
        </w:rPr>
        <w:t>的价格扣除，</w:t>
      </w:r>
      <w:r>
        <w:rPr>
          <w:rFonts w:hint="eastAsia" w:ascii="宋体" w:hAnsi="宋体" w:eastAsia="宋体" w:cs="宋体"/>
          <w:bCs/>
          <w:sz w:val="24"/>
          <w:szCs w:val="20"/>
          <w:lang w:val="zh-CN"/>
        </w:rPr>
        <w:t>不重复享受政策。</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52"/>
        </w:numPr>
        <w:spacing w:line="360" w:lineRule="auto"/>
        <w:ind w:left="1134" w:hanging="756"/>
        <w:rPr>
          <w:rFonts w:ascii="宋体" w:hAnsi="宋体" w:eastAsia="宋体" w:cs="宋体"/>
          <w:bCs/>
          <w:sz w:val="24"/>
          <w:szCs w:val="20"/>
          <w:lang w:val="zh-CN"/>
        </w:rPr>
      </w:pPr>
      <w:r>
        <w:rPr>
          <w:rFonts w:hint="eastAsia" w:ascii="宋体" w:hAnsi="宋体" w:eastAsia="宋体" w:cs="宋体"/>
          <w:bCs/>
          <w:sz w:val="24"/>
          <w:szCs w:val="20"/>
          <w:lang w:val="zh-CN"/>
        </w:rPr>
        <w:t>小型和微型企业应出具《声明函》；监狱企业应提供由省级监狱局、戒毒局（含新疆生产建设兵团）出具的监狱企业的证明文件；残疾人福利性单位提供《声明函》。</w:t>
      </w:r>
    </w:p>
    <w:p>
      <w:pPr>
        <w:numPr>
          <w:ilvl w:val="0"/>
          <w:numId w:val="50"/>
        </w:numPr>
        <w:tabs>
          <w:tab w:val="left" w:pos="616"/>
        </w:tabs>
        <w:spacing w:line="360" w:lineRule="auto"/>
        <w:ind w:left="10" w:leftChars="5" w:firstLine="237" w:firstLineChars="99"/>
        <w:rPr>
          <w:rFonts w:ascii="宋体" w:hAnsi="宋体" w:eastAsia="宋体" w:cs="宋体"/>
          <w:b/>
          <w:bCs/>
          <w:sz w:val="24"/>
          <w:szCs w:val="20"/>
          <w:lang w:val="zh-CN"/>
        </w:rPr>
      </w:pPr>
      <w:r>
        <w:rPr>
          <w:rFonts w:hint="eastAsia" w:ascii="宋体" w:hAnsi="宋体" w:eastAsia="宋体" w:cs="宋体"/>
          <w:b/>
          <w:bCs/>
          <w:sz w:val="24"/>
          <w:szCs w:val="20"/>
          <w:lang w:val="zh-CN"/>
        </w:rPr>
        <w:t>相同品牌处理原则</w:t>
      </w:r>
    </w:p>
    <w:p>
      <w:pPr>
        <w:numPr>
          <w:ilvl w:val="0"/>
          <w:numId w:val="53"/>
        </w:numPr>
        <w:adjustRightInd w:val="0"/>
        <w:spacing w:line="360" w:lineRule="auto"/>
        <w:ind w:left="756" w:hanging="507"/>
        <w:rPr>
          <w:rFonts w:ascii="宋体" w:hAnsi="宋体" w:eastAsia="宋体" w:cs="宋体"/>
          <w:kern w:val="0"/>
          <w:sz w:val="24"/>
          <w:szCs w:val="24"/>
          <w:lang w:val="zh-CN"/>
        </w:rPr>
      </w:pPr>
      <w:r>
        <w:rPr>
          <w:rFonts w:hint="eastAsia" w:ascii="宋体" w:hAnsi="宋体" w:eastAsia="宋体" w:cs="宋体"/>
          <w:kern w:val="0"/>
          <w:sz w:val="24"/>
          <w:szCs w:val="24"/>
          <w:lang w:val="zh-CN"/>
        </w:rPr>
        <w:t>提供相同品牌产品且通过资格审查、符合性审查的不同供应商参加同一合同项下投标的，按一家供应商计算，评审后得分最高的同品牌供应商获得中标人推荐资格；评审得分相同的，由采购人确定或者采购人委托评标委员会以投票方式确定一个供应商获得中标人推荐资格，其他同品牌供应商不作为中标候选人。</w:t>
      </w:r>
    </w:p>
    <w:p>
      <w:pPr>
        <w:numPr>
          <w:ilvl w:val="0"/>
          <w:numId w:val="53"/>
        </w:numPr>
        <w:adjustRightInd w:val="0"/>
        <w:spacing w:line="360" w:lineRule="auto"/>
        <w:ind w:left="756" w:hanging="507"/>
        <w:rPr>
          <w:rFonts w:ascii="宋体" w:hAnsi="宋体" w:eastAsia="宋体" w:cs="宋体"/>
          <w:kern w:val="0"/>
          <w:sz w:val="24"/>
          <w:szCs w:val="24"/>
          <w:lang w:val="zh-CN"/>
        </w:rPr>
      </w:pPr>
      <w:r>
        <w:rPr>
          <w:rFonts w:hint="eastAsia" w:ascii="宋体" w:hAnsi="宋体" w:eastAsia="宋体" w:cs="宋体"/>
          <w:kern w:val="0"/>
          <w:sz w:val="24"/>
          <w:szCs w:val="24"/>
          <w:lang w:val="zh-CN"/>
        </w:rPr>
        <w:t>非单一产品采购项目，采购人应当根据采购项目技术构成、产品价格比重等合理确定</w:t>
      </w:r>
      <w:r>
        <w:rPr>
          <w:rFonts w:hint="eastAsia" w:ascii="宋体" w:hAnsi="宋体" w:eastAsia="宋体" w:cs="宋体"/>
          <w:b/>
          <w:kern w:val="0"/>
          <w:sz w:val="24"/>
          <w:szCs w:val="24"/>
          <w:lang w:val="zh-CN"/>
        </w:rPr>
        <w:t>一个核心产品</w:t>
      </w:r>
      <w:r>
        <w:rPr>
          <w:rFonts w:hint="eastAsia" w:ascii="宋体" w:hAnsi="宋体" w:eastAsia="宋体" w:cs="宋体"/>
          <w:kern w:val="0"/>
          <w:sz w:val="24"/>
          <w:szCs w:val="24"/>
          <w:lang w:val="zh-CN"/>
        </w:rPr>
        <w:t>（采购清单中作“相同〈或同一〉品牌”实质性要求的产品，视为一个核心产品），并以</w:t>
      </w:r>
      <w:r>
        <w:rPr>
          <w:rFonts w:hint="eastAsia" w:ascii="宋体" w:hAnsi="宋体" w:eastAsia="宋体" w:cs="宋体"/>
          <w:b/>
          <w:kern w:val="0"/>
          <w:sz w:val="24"/>
          <w:szCs w:val="24"/>
          <w:lang w:val="zh-CN"/>
        </w:rPr>
        <w:t>“核心产品”</w:t>
      </w:r>
      <w:r>
        <w:rPr>
          <w:rFonts w:hint="eastAsia" w:ascii="宋体" w:hAnsi="宋体" w:eastAsia="宋体" w:cs="宋体"/>
          <w:kern w:val="0"/>
          <w:sz w:val="24"/>
          <w:szCs w:val="24"/>
          <w:lang w:val="zh-CN"/>
        </w:rPr>
        <w:t>在招标文件中标注。</w:t>
      </w:r>
    </w:p>
    <w:p>
      <w:pPr>
        <w:numPr>
          <w:ilvl w:val="0"/>
          <w:numId w:val="50"/>
        </w:numPr>
        <w:tabs>
          <w:tab w:val="left" w:pos="616"/>
        </w:tabs>
        <w:spacing w:line="360" w:lineRule="auto"/>
        <w:ind w:left="10" w:leftChars="5" w:firstLine="237" w:firstLineChars="99"/>
        <w:rPr>
          <w:rFonts w:ascii="宋体" w:hAnsi="宋体" w:eastAsia="宋体" w:cs="宋体"/>
          <w:b/>
          <w:bCs/>
          <w:sz w:val="24"/>
          <w:szCs w:val="20"/>
          <w:lang w:val="zh-CN"/>
        </w:rPr>
      </w:pPr>
      <w:r>
        <w:rPr>
          <w:rFonts w:hint="eastAsia" w:ascii="宋体" w:hAnsi="宋体" w:eastAsia="宋体" w:cs="宋体"/>
          <w:b/>
          <w:bCs/>
          <w:sz w:val="24"/>
          <w:szCs w:val="20"/>
          <w:lang w:val="zh-CN"/>
        </w:rPr>
        <w:t>计分办法</w:t>
      </w:r>
    </w:p>
    <w:p>
      <w:pPr>
        <w:numPr>
          <w:ilvl w:val="0"/>
          <w:numId w:val="54"/>
        </w:numPr>
        <w:adjustRightInd w:val="0"/>
        <w:spacing w:line="360" w:lineRule="auto"/>
        <w:ind w:left="756" w:hanging="507"/>
        <w:rPr>
          <w:rFonts w:ascii="宋体" w:hAnsi="宋体" w:eastAsia="宋体" w:cs="宋体"/>
          <w:kern w:val="0"/>
          <w:sz w:val="24"/>
          <w:szCs w:val="24"/>
          <w:lang w:val="zh-CN"/>
        </w:rPr>
      </w:pPr>
      <w:r>
        <w:rPr>
          <w:rFonts w:hint="eastAsia" w:ascii="宋体" w:hAnsi="宋体" w:eastAsia="宋体" w:cs="宋体"/>
          <w:kern w:val="0"/>
          <w:sz w:val="24"/>
          <w:szCs w:val="24"/>
          <w:lang w:val="zh-CN"/>
        </w:rPr>
        <w:t>采购代理机构对各评委的总分进行复核。各项统计结果均精确到小数点后两位。</w:t>
      </w:r>
    </w:p>
    <w:p>
      <w:pPr>
        <w:numPr>
          <w:ilvl w:val="0"/>
          <w:numId w:val="54"/>
        </w:numPr>
        <w:adjustRightInd w:val="0"/>
        <w:spacing w:line="360" w:lineRule="auto"/>
        <w:ind w:left="756" w:hanging="507"/>
        <w:rPr>
          <w:rFonts w:ascii="宋体" w:hAnsi="宋体" w:eastAsia="宋体" w:cs="宋体"/>
          <w:kern w:val="0"/>
          <w:sz w:val="24"/>
          <w:szCs w:val="24"/>
          <w:lang w:val="zh-CN"/>
        </w:rPr>
      </w:pPr>
      <w:r>
        <w:rPr>
          <w:rFonts w:hint="eastAsia" w:ascii="宋体" w:hAnsi="宋体" w:eastAsia="宋体" w:cs="宋体"/>
          <w:kern w:val="0"/>
          <w:sz w:val="24"/>
          <w:szCs w:val="24"/>
          <w:lang w:val="zh-CN"/>
        </w:rPr>
        <w:t>各供应商的最终得分为评委所评定分数的</w:t>
      </w:r>
      <w:r>
        <w:rPr>
          <w:rFonts w:hint="eastAsia" w:ascii="宋体" w:hAnsi="宋体" w:eastAsia="宋体" w:cs="宋体"/>
          <w:b/>
          <w:bCs/>
          <w:kern w:val="0"/>
          <w:sz w:val="24"/>
          <w:szCs w:val="24"/>
          <w:lang w:val="zh-CN"/>
        </w:rPr>
        <w:t>算术平均值</w:t>
      </w:r>
      <w:r>
        <w:rPr>
          <w:rFonts w:hint="eastAsia" w:ascii="宋体" w:hAnsi="宋体" w:eastAsia="宋体" w:cs="宋体"/>
          <w:kern w:val="0"/>
          <w:sz w:val="24"/>
          <w:szCs w:val="24"/>
          <w:lang w:val="zh-CN"/>
        </w:rPr>
        <w:t>。</w:t>
      </w:r>
    </w:p>
    <w:p>
      <w:pPr>
        <w:numPr>
          <w:ilvl w:val="0"/>
          <w:numId w:val="46"/>
        </w:numPr>
        <w:ind w:left="1311" w:leftChars="154" w:hanging="988" w:hangingChars="353"/>
        <w:rPr>
          <w:rFonts w:ascii="宋体" w:hAnsi="宋体" w:eastAsia="宋体" w:cs="宋体"/>
          <w:b/>
          <w:sz w:val="28"/>
          <w:szCs w:val="28"/>
          <w:lang w:val="zh-CN"/>
        </w:rPr>
      </w:pPr>
      <w:r>
        <w:rPr>
          <w:rFonts w:hint="eastAsia" w:ascii="宋体" w:hAnsi="宋体" w:eastAsia="宋体" w:cs="宋体"/>
          <w:b/>
          <w:sz w:val="28"/>
          <w:szCs w:val="28"/>
          <w:lang w:val="zh-CN"/>
        </w:rPr>
        <w:t>推荐中标候选人名单或确定中标人</w:t>
      </w:r>
    </w:p>
    <w:p>
      <w:pPr>
        <w:numPr>
          <w:ilvl w:val="0"/>
          <w:numId w:val="55"/>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按照招标文件确定的评标方法、程序及标准，对投标文件进行评审。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numPr>
          <w:ilvl w:val="0"/>
          <w:numId w:val="55"/>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评标委员会依据评标结果，按各供应商的评审后得分由高到低的顺序向采购人推荐得分前三名的进入中标候选人名单，并形成书面的评标报告。</w:t>
      </w:r>
    </w:p>
    <w:p>
      <w:pPr>
        <w:numPr>
          <w:ilvl w:val="0"/>
          <w:numId w:val="55"/>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中标候选人并列的，由采购人确定或者采购人委托评标委员会以投票方式确定中标人。</w:t>
      </w:r>
    </w:p>
    <w:p>
      <w:pPr>
        <w:numPr>
          <w:ilvl w:val="0"/>
          <w:numId w:val="55"/>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5"/>
        </w:numPr>
        <w:tabs>
          <w:tab w:val="left" w:pos="616"/>
        </w:tabs>
        <w:spacing w:line="360" w:lineRule="auto"/>
        <w:ind w:left="10" w:leftChars="5" w:firstLine="237" w:firstLineChars="99"/>
        <w:rPr>
          <w:rFonts w:ascii="宋体" w:hAnsi="宋体" w:eastAsia="宋体" w:cs="宋体"/>
          <w:kern w:val="0"/>
          <w:sz w:val="24"/>
          <w:szCs w:val="24"/>
          <w:lang w:val="zh-CN"/>
        </w:rPr>
      </w:pPr>
      <w:r>
        <w:rPr>
          <w:rFonts w:hint="eastAsia" w:ascii="宋体" w:hAnsi="宋体" w:eastAsia="宋体" w:cs="宋体"/>
          <w:kern w:val="0"/>
          <w:sz w:val="24"/>
          <w:szCs w:val="24"/>
          <w:lang w:val="zh-CN"/>
        </w:rPr>
        <w:t>中标人的数量有其他规定的，应在此处明确方法、中标比例等。</w:t>
      </w:r>
    </w:p>
    <w:p>
      <w:pPr>
        <w:pStyle w:val="3"/>
        <w:numPr>
          <w:ilvl w:val="0"/>
          <w:numId w:val="45"/>
        </w:numPr>
        <w:spacing w:before="0" w:after="0" w:line="360" w:lineRule="auto"/>
        <w:ind w:left="616" w:hanging="616"/>
        <w:jc w:val="left"/>
        <w:rPr>
          <w:rFonts w:ascii="宋体" w:hAnsi="宋体" w:eastAsia="宋体" w:cs="宋体"/>
          <w:bCs w:val="0"/>
          <w:sz w:val="30"/>
          <w:szCs w:val="30"/>
          <w:lang w:val="zh-CN"/>
        </w:rPr>
        <w:sectPr>
          <w:pgSz w:w="11906" w:h="16838"/>
          <w:pgMar w:top="1134" w:right="1191" w:bottom="1134" w:left="1191" w:header="851" w:footer="624" w:gutter="0"/>
          <w:cols w:space="425" w:num="1"/>
          <w:docGrid w:type="linesAndChars" w:linePitch="312" w:charSpace="0"/>
        </w:sectPr>
      </w:pPr>
      <w:bookmarkStart w:id="57" w:name="_Toc494561963"/>
      <w:bookmarkStart w:id="58" w:name="_Toc495848912"/>
    </w:p>
    <w:p>
      <w:pPr>
        <w:pStyle w:val="3"/>
        <w:numPr>
          <w:ilvl w:val="0"/>
          <w:numId w:val="45"/>
        </w:numPr>
        <w:spacing w:before="0" w:after="0" w:line="360" w:lineRule="auto"/>
        <w:ind w:left="616" w:hanging="616"/>
        <w:jc w:val="left"/>
        <w:rPr>
          <w:rFonts w:ascii="宋体" w:hAnsi="宋体" w:eastAsia="宋体" w:cs="宋体"/>
          <w:bCs w:val="0"/>
          <w:sz w:val="30"/>
          <w:szCs w:val="30"/>
          <w:lang w:val="zh-CN"/>
        </w:rPr>
      </w:pPr>
      <w:r>
        <w:rPr>
          <w:rFonts w:hint="eastAsia" w:ascii="宋体" w:hAnsi="宋体" w:eastAsia="宋体" w:cs="宋体"/>
          <w:bCs w:val="0"/>
          <w:sz w:val="30"/>
          <w:szCs w:val="30"/>
          <w:lang w:val="zh-CN"/>
        </w:rPr>
        <w:t>评审因素及评分标准</w:t>
      </w:r>
      <w:bookmarkEnd w:id="57"/>
      <w:bookmarkEnd w:id="58"/>
    </w:p>
    <w:p>
      <w:pPr>
        <w:rPr>
          <w:rFonts w:ascii="宋体" w:hAnsi="宋体" w:eastAsia="宋体" w:cs="宋体"/>
        </w:rPr>
      </w:pPr>
      <w:bookmarkStart w:id="59" w:name="_Toc494665943"/>
      <w:bookmarkStart w:id="60" w:name="_Toc495848913"/>
      <w:bookmarkStart w:id="61" w:name="_Toc494702263"/>
      <w:bookmarkStart w:id="62" w:name="_Toc494665546"/>
      <w:bookmarkStart w:id="63" w:name="_Toc494745310"/>
      <w:bookmarkStart w:id="64" w:name="_Toc494664993"/>
      <w:bookmarkStart w:id="65" w:name="_Toc494721093"/>
    </w:p>
    <w:p>
      <w:pPr>
        <w:ind w:left="21" w:leftChars="10" w:firstLine="361" w:firstLineChars="100"/>
        <w:jc w:val="center"/>
        <w:rPr>
          <w:rFonts w:ascii="宋体" w:hAnsi="宋体" w:eastAsia="宋体" w:cs="宋体"/>
          <w:b/>
          <w:bCs/>
          <w:sz w:val="36"/>
          <w:szCs w:val="36"/>
        </w:rPr>
      </w:pPr>
      <w:r>
        <w:rPr>
          <w:rFonts w:hint="eastAsia" w:ascii="宋体" w:hAnsi="宋体" w:eastAsia="宋体" w:cs="宋体"/>
          <w:b/>
          <w:bCs/>
          <w:sz w:val="36"/>
          <w:szCs w:val="36"/>
        </w:rPr>
        <w:t>符 合 性 检 查 表</w:t>
      </w:r>
    </w:p>
    <w:p>
      <w:pPr>
        <w:ind w:left="21" w:leftChars="10" w:firstLine="361" w:firstLineChars="100"/>
        <w:jc w:val="center"/>
        <w:rPr>
          <w:rFonts w:ascii="宋体" w:hAnsi="宋体" w:eastAsia="宋体" w:cs="宋体"/>
          <w:b/>
          <w:bCs/>
          <w:sz w:val="36"/>
          <w:szCs w:val="36"/>
        </w:rPr>
      </w:pPr>
    </w:p>
    <w:p>
      <w:pPr>
        <w:spacing w:line="360" w:lineRule="auto"/>
        <w:ind w:left="5122" w:leftChars="-75" w:right="-206" w:rightChars="-98" w:hanging="5280" w:hangingChars="2200"/>
        <w:rPr>
          <w:rFonts w:ascii="宋体" w:hAnsi="宋体" w:eastAsia="宋体" w:cs="宋体"/>
          <w:szCs w:val="21"/>
        </w:rPr>
      </w:pP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项目名称：</w:t>
      </w:r>
      <w:r>
        <w:rPr>
          <w:rFonts w:hint="eastAsia" w:ascii="宋体" w:hAnsi="宋体" w:eastAsia="宋体" w:cs="宋体"/>
          <w:bCs/>
          <w:sz w:val="24"/>
          <w:u w:val="single"/>
          <w:lang w:val="zh-CN"/>
        </w:rPr>
        <w:t xml:space="preserve">                     </w:t>
      </w:r>
    </w:p>
    <w:tbl>
      <w:tblPr>
        <w:tblStyle w:val="2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932"/>
        <w:gridCol w:w="1971"/>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932" w:type="dxa"/>
            <w:tcBorders>
              <w:tl2br w:val="single" w:color="auto" w:sz="4" w:space="0"/>
            </w:tcBorders>
          </w:tcPr>
          <w:p>
            <w:pPr>
              <w:jc w:val="cente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-17780</wp:posOffset>
                      </wp:positionV>
                      <wp:extent cx="635" cy="0"/>
                      <wp:effectExtent l="0" t="0" r="0" b="0"/>
                      <wp:wrapNone/>
                      <wp:docPr id="9"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4" o:spid="_x0000_s1026" o:spt="20" style="position:absolute;left:0pt;margin-left:0pt;margin-top:-1.4pt;height:0pt;width:0.05pt;z-index:251666432;mso-width-relative:page;mso-height-relative:page;" filled="f" stroked="t" coordsize="21600,21600" o:gfxdata="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t&#10;e0TQAAAAAwEAAA8AAAAAAAAAAQAgAAAAIgAAAGRycy9kb3ducmV2LnhtbFBLAQIUABQAAAAIAIdO&#10;4kAQUTm4uQEAAIkDAAAOAAAAAAAAAAEAIAAAAB8BAABkcnMvZTJvRG9jLnhtbFBLBQYAAAAABgAG&#10;AFkBAABKBQAAAAA=&#10;">
                      <v:fill on="f" focussize="0,0"/>
                      <v:stroke color="#000000" joinstyle="round"/>
                      <v:imagedata o:title=""/>
                      <o:lock v:ext="edit" aspectratio="f"/>
                    </v:line>
                  </w:pict>
                </mc:Fallback>
              </mc:AlternateContent>
            </w: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0</wp:posOffset>
                      </wp:positionV>
                      <wp:extent cx="635" cy="0"/>
                      <wp:effectExtent l="0" t="0" r="0" b="0"/>
                      <wp:wrapNone/>
                      <wp:docPr id="8" name="Line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5" o:spid="_x0000_s1026" o:spt="20" style="position:absolute;left:0pt;margin-left:-5.55pt;margin-top:0pt;height:0pt;width:0.05pt;z-index:251665408;mso-width-relative:page;mso-height-relative:page;" filled="f" stroked="t" coordsize="21600,21600" o:gfxdata="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1//0QAAAAUBAAAPAAAAAAAAAAEAIAAAACIAAABkcnMvZG93bnJldi54bWxQSwECFAAUAAAACACH&#10;TuJAnCAYRLkBAACJAwAADgAAAAAAAAABACAAAAAgAQAAZHJzL2Uyb0RvYy54bWxQSwUGAAAAAAYA&#10;BgBZAQAASwUAAAAA&#10;">
                      <v:fill on="f" focussize="0,0"/>
                      <v:stroke color="#000000" joinstyle="round"/>
                      <v:imagedata o:title=""/>
                      <o:lock v:ext="edit" aspectratio="f"/>
                    </v:line>
                  </w:pict>
                </mc:Fallback>
              </mc:AlternateContent>
            </w:r>
            <w:r>
              <w:rPr>
                <w:rFonts w:hint="eastAsia" w:ascii="宋体" w:hAnsi="宋体" w:eastAsia="宋体" w:cs="宋体"/>
                <w:szCs w:val="21"/>
              </w:rPr>
              <w:t xml:space="preserve">       供应商</w:t>
            </w:r>
          </w:p>
          <w:p>
            <w:pPr>
              <w:rPr>
                <w:rFonts w:ascii="宋体" w:hAnsi="宋体" w:eastAsia="宋体" w:cs="宋体"/>
                <w:szCs w:val="21"/>
              </w:rPr>
            </w:pPr>
          </w:p>
          <w:p>
            <w:pPr>
              <w:ind w:firstLine="210" w:firstLineChars="100"/>
              <w:rPr>
                <w:rFonts w:ascii="宋体" w:hAnsi="宋体" w:eastAsia="宋体" w:cs="宋体"/>
                <w:szCs w:val="21"/>
              </w:rPr>
            </w:pPr>
            <w:r>
              <w:rPr>
                <w:rFonts w:hint="eastAsia" w:ascii="宋体" w:hAnsi="宋体" w:eastAsia="宋体" w:cs="宋体"/>
                <w:szCs w:val="21"/>
              </w:rPr>
              <w:t>内容</w:t>
            </w:r>
          </w:p>
        </w:tc>
        <w:tc>
          <w:tcPr>
            <w:tcW w:w="1971"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投标文件的完整性</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投标保证金</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投标文件有效签署</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投标有效期</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法人委托授权书</w:t>
            </w:r>
          </w:p>
        </w:tc>
        <w:tc>
          <w:tcPr>
            <w:tcW w:w="1971"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评委会认为其他</w:t>
            </w:r>
          </w:p>
          <w:p>
            <w:pPr>
              <w:jc w:val="center"/>
              <w:rPr>
                <w:rFonts w:ascii="宋体" w:hAnsi="宋体" w:eastAsia="宋体" w:cs="宋体"/>
                <w:szCs w:val="21"/>
              </w:rPr>
            </w:pPr>
            <w:r>
              <w:rPr>
                <w:rFonts w:hint="eastAsia" w:ascii="宋体" w:hAnsi="宋体" w:eastAsia="宋体" w:cs="宋体"/>
                <w:szCs w:val="21"/>
              </w:rPr>
              <w:t>应审查的内容</w:t>
            </w:r>
          </w:p>
        </w:tc>
        <w:tc>
          <w:tcPr>
            <w:tcW w:w="1971"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2449" w:type="dxa"/>
            <w:gridSpan w:val="2"/>
            <w:vAlign w:val="center"/>
          </w:tcPr>
          <w:p>
            <w:pPr>
              <w:jc w:val="center"/>
              <w:rPr>
                <w:rFonts w:ascii="宋体" w:hAnsi="宋体" w:eastAsia="宋体" w:cs="宋体"/>
                <w:szCs w:val="21"/>
              </w:rPr>
            </w:pPr>
            <w:r>
              <w:rPr>
                <w:rFonts w:hint="eastAsia" w:ascii="宋体" w:hAnsi="宋体" w:eastAsia="宋体" w:cs="宋体"/>
                <w:szCs w:val="21"/>
              </w:rPr>
              <w:t>结论</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bl>
    <w:p>
      <w:pPr>
        <w:spacing w:line="720" w:lineRule="auto"/>
        <w:ind w:leftChars="-75" w:hanging="157" w:hangingChars="75"/>
        <w:rPr>
          <w:rFonts w:ascii="宋体" w:hAnsi="宋体" w:eastAsia="宋体" w:cs="宋体"/>
          <w:szCs w:val="21"/>
        </w:rPr>
      </w:pPr>
      <w:r>
        <w:rPr>
          <w:rFonts w:hint="eastAsia" w:ascii="宋体" w:hAnsi="宋体" w:eastAsia="宋体" w:cs="宋体"/>
          <w:szCs w:val="21"/>
        </w:rPr>
        <w:t>评委会签名：                                                        年   月   日</w:t>
      </w:r>
    </w:p>
    <w:p>
      <w:pPr>
        <w:spacing w:line="480" w:lineRule="auto"/>
        <w:rPr>
          <w:rFonts w:ascii="宋体" w:hAnsi="宋体" w:eastAsia="宋体" w:cs="宋体"/>
        </w:rPr>
      </w:pPr>
    </w:p>
    <w:p>
      <w:pPr>
        <w:ind w:left="20" w:leftChars="-75" w:hanging="178" w:hangingChars="85"/>
        <w:rPr>
          <w:rFonts w:ascii="宋体" w:hAnsi="宋体" w:eastAsia="宋体" w:cs="宋体"/>
          <w:szCs w:val="21"/>
        </w:rPr>
      </w:pPr>
      <w:r>
        <w:rPr>
          <w:rFonts w:hint="eastAsia" w:ascii="宋体" w:hAnsi="宋体" w:eastAsia="宋体" w:cs="宋体"/>
          <w:szCs w:val="21"/>
        </w:rPr>
        <w:t>注：</w:t>
      </w:r>
    </w:p>
    <w:p>
      <w:pPr>
        <w:ind w:left="20" w:leftChars="-75" w:hanging="178" w:hangingChars="85"/>
        <w:rPr>
          <w:rFonts w:ascii="宋体" w:hAnsi="宋体" w:eastAsia="宋体" w:cs="宋体"/>
          <w:szCs w:val="21"/>
        </w:rPr>
      </w:pPr>
      <w:r>
        <w:rPr>
          <w:rFonts w:hint="eastAsia" w:ascii="宋体" w:hAnsi="宋体" w:eastAsia="宋体" w:cs="宋体"/>
          <w:szCs w:val="21"/>
        </w:rPr>
        <w:t>1. 投标文件由法人代表签署时，可不提供法人授权书。</w:t>
      </w:r>
    </w:p>
    <w:p>
      <w:pPr>
        <w:ind w:left="20" w:leftChars="-75" w:hanging="178" w:hangingChars="85"/>
        <w:rPr>
          <w:rFonts w:ascii="宋体" w:hAnsi="宋体" w:eastAsia="宋体" w:cs="宋体"/>
          <w:szCs w:val="21"/>
        </w:rPr>
      </w:pPr>
      <w:r>
        <w:rPr>
          <w:rFonts w:hint="eastAsia" w:ascii="宋体" w:hAnsi="宋体" w:eastAsia="宋体" w:cs="宋体"/>
          <w:szCs w:val="21"/>
        </w:rPr>
        <w:t>2. 表中项只需填写“√”或“×”。</w:t>
      </w:r>
    </w:p>
    <w:p>
      <w:pPr>
        <w:ind w:left="20" w:leftChars="-75" w:hanging="178" w:hangingChars="85"/>
        <w:rPr>
          <w:rFonts w:ascii="宋体" w:hAnsi="宋体" w:eastAsia="宋体" w:cs="宋体"/>
          <w:szCs w:val="21"/>
        </w:rPr>
      </w:pPr>
      <w:r>
        <w:rPr>
          <w:rFonts w:hint="eastAsia" w:ascii="宋体" w:hAnsi="宋体" w:eastAsia="宋体" w:cs="宋体"/>
          <w:szCs w:val="21"/>
        </w:rPr>
        <w:t>3. 在结论栏中填写“合格”或“不合格”。</w:t>
      </w:r>
    </w:p>
    <w:p>
      <w:pPr>
        <w:ind w:left="20" w:leftChars="-75" w:hanging="178" w:hangingChars="85"/>
        <w:rPr>
          <w:rFonts w:ascii="宋体" w:hAnsi="宋体" w:eastAsia="宋体" w:cs="宋体"/>
        </w:rPr>
      </w:pPr>
    </w:p>
    <w:p>
      <w:pPr>
        <w:spacing w:line="520" w:lineRule="exact"/>
        <w:rPr>
          <w:rFonts w:ascii="宋体" w:hAnsi="宋体" w:eastAsia="宋体" w:cs="宋体"/>
          <w:szCs w:val="21"/>
        </w:rPr>
      </w:pPr>
    </w:p>
    <w:p>
      <w:pPr>
        <w:spacing w:line="520" w:lineRule="exact"/>
        <w:rPr>
          <w:rFonts w:ascii="宋体" w:hAnsi="宋体" w:eastAsia="宋体" w:cs="宋体"/>
          <w:szCs w:val="21"/>
        </w:rPr>
      </w:pPr>
    </w:p>
    <w:p>
      <w:pPr>
        <w:spacing w:line="360" w:lineRule="exact"/>
        <w:rPr>
          <w:rFonts w:ascii="宋体" w:hAnsi="宋体" w:eastAsia="宋体" w:cs="宋体"/>
          <w:szCs w:val="28"/>
        </w:rPr>
        <w:sectPr>
          <w:pgSz w:w="11906" w:h="16838"/>
          <w:pgMar w:top="680" w:right="1701" w:bottom="680" w:left="1701" w:header="851" w:footer="992" w:gutter="0"/>
          <w:cols w:space="720" w:num="1"/>
          <w:titlePg/>
          <w:rtlGutter w:val="1"/>
          <w:docGrid w:type="lines" w:linePitch="312" w:charSpace="0"/>
        </w:sectPr>
      </w:pPr>
    </w:p>
    <w:p>
      <w:pPr>
        <w:tabs>
          <w:tab w:val="left" w:pos="5400"/>
        </w:tabs>
        <w:spacing w:line="480" w:lineRule="auto"/>
        <w:jc w:val="center"/>
        <w:rPr>
          <w:rFonts w:ascii="宋体" w:hAnsi="宋体" w:eastAsia="宋体" w:cs="宋体"/>
          <w:b/>
          <w:szCs w:val="21"/>
        </w:rPr>
      </w:pPr>
      <w:r>
        <w:rPr>
          <w:rFonts w:hint="eastAsia" w:ascii="宋体" w:hAnsi="宋体" w:eastAsia="宋体" w:cs="宋体"/>
          <w:b/>
          <w:sz w:val="32"/>
          <w:szCs w:val="32"/>
        </w:rPr>
        <w:t>评分标准</w:t>
      </w:r>
    </w:p>
    <w:p>
      <w:pPr>
        <w:spacing w:line="360" w:lineRule="exact"/>
        <w:ind w:left="-134" w:leftChars="-64"/>
        <w:rPr>
          <w:rFonts w:ascii="宋体" w:hAnsi="宋体" w:eastAsia="宋体" w:cs="宋体"/>
          <w:szCs w:val="21"/>
        </w:rPr>
      </w:pPr>
      <w:r>
        <w:rPr>
          <w:rFonts w:hint="eastAsia" w:ascii="宋体" w:hAnsi="宋体" w:eastAsia="宋体" w:cs="宋体"/>
          <w:szCs w:val="21"/>
        </w:rPr>
        <w:t xml:space="preserve">项目编号：             </w:t>
      </w:r>
    </w:p>
    <w:p>
      <w:pPr>
        <w:spacing w:line="360" w:lineRule="exact"/>
        <w:ind w:left="-134" w:leftChars="-64"/>
        <w:rPr>
          <w:rFonts w:ascii="宋体" w:hAnsi="宋体" w:eastAsia="宋体" w:cs="宋体"/>
          <w:szCs w:val="21"/>
          <w:lang w:val="zh-CN"/>
        </w:rPr>
      </w:pPr>
      <w:r>
        <w:rPr>
          <w:rFonts w:hint="eastAsia" w:ascii="宋体" w:hAnsi="宋体" w:eastAsia="宋体" w:cs="宋体"/>
          <w:szCs w:val="21"/>
          <w:lang w:val="zh-CN"/>
        </w:rPr>
        <w:t>项目名称：</w:t>
      </w:r>
    </w:p>
    <w:tbl>
      <w:tblPr>
        <w:tblStyle w:val="26"/>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578"/>
        <w:gridCol w:w="789"/>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074"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项目</w:t>
            </w: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评审因素</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分值</w:t>
            </w:r>
          </w:p>
        </w:tc>
        <w:tc>
          <w:tcPr>
            <w:tcW w:w="5746"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652" w:type="dxa"/>
            <w:gridSpan w:val="2"/>
            <w:vAlign w:val="center"/>
          </w:tcPr>
          <w:p>
            <w:pPr>
              <w:widowControl/>
              <w:spacing w:line="400" w:lineRule="exact"/>
              <w:jc w:val="center"/>
              <w:rPr>
                <w:rFonts w:ascii="宋体" w:hAnsi="宋体" w:cs="宋体"/>
                <w:kern w:val="0"/>
                <w:szCs w:val="21"/>
              </w:rPr>
            </w:pPr>
            <w:r>
              <w:rPr>
                <w:rFonts w:hint="eastAsia" w:ascii="宋体" w:hAnsi="宋体" w:cs="宋体"/>
                <w:kern w:val="0"/>
                <w:szCs w:val="21"/>
              </w:rPr>
              <w:t>价格部分（30分）</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30分</w:t>
            </w:r>
          </w:p>
        </w:tc>
        <w:tc>
          <w:tcPr>
            <w:tcW w:w="5746"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满足招标文件要求且报价最低的投标报价为评标基准价，其价格分为满分。投标供应商的价格分统一按照下列公式计算：</w:t>
            </w:r>
          </w:p>
          <w:p>
            <w:pPr>
              <w:widowControl/>
              <w:spacing w:line="400" w:lineRule="exact"/>
              <w:jc w:val="center"/>
              <w:rPr>
                <w:rFonts w:ascii="宋体" w:hAnsi="宋体" w:cs="宋体"/>
                <w:kern w:val="0"/>
                <w:szCs w:val="21"/>
              </w:rPr>
            </w:pPr>
            <w:r>
              <w:rPr>
                <w:rFonts w:hint="eastAsia" w:ascii="宋体" w:hAnsi="宋体" w:cs="宋体"/>
                <w:kern w:val="0"/>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4" w:hRule="atLeast"/>
        </w:trPr>
        <w:tc>
          <w:tcPr>
            <w:tcW w:w="1074" w:type="dxa"/>
            <w:vMerge w:val="restart"/>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技术部分（50分）</w:t>
            </w: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产品基本要求</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30分</w:t>
            </w:r>
          </w:p>
        </w:tc>
        <w:tc>
          <w:tcPr>
            <w:tcW w:w="5746"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投标产品功能技术指标符合招标文件要求，技术要求全部满足的得30分，标“*”技术指标为重要指标，一项不满足扣4分，其他技术指标一项不满足扣3分，扣完为止。如应答时有缺项，或无有效证明材料的，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产品选型</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10分</w:t>
            </w:r>
          </w:p>
        </w:tc>
        <w:tc>
          <w:tcPr>
            <w:tcW w:w="5746"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根据竞标产品选型、配置的符合性、可靠性、可操作性、先进性等相对优劣打分，优得7-10分，良得4-6分，一般得1-3分，较差不得分。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tcPr>
          <w:p>
            <w:pPr>
              <w:widowControl/>
              <w:spacing w:line="400" w:lineRule="exact"/>
              <w:jc w:val="center"/>
              <w:rPr>
                <w:rFonts w:ascii="宋体" w:hAnsi="宋体" w:cs="宋体"/>
                <w:kern w:val="0"/>
                <w:szCs w:val="21"/>
              </w:rPr>
            </w:pPr>
          </w:p>
          <w:p>
            <w:pPr>
              <w:widowControl/>
              <w:spacing w:line="400" w:lineRule="exact"/>
              <w:jc w:val="center"/>
              <w:rPr>
                <w:rFonts w:ascii="宋体" w:hAnsi="宋体" w:cs="宋体"/>
                <w:kern w:val="0"/>
                <w:szCs w:val="21"/>
              </w:rPr>
            </w:pPr>
            <w:r>
              <w:rPr>
                <w:rFonts w:hint="eastAsia" w:ascii="宋体" w:hAnsi="宋体" w:cs="宋体"/>
                <w:kern w:val="0"/>
                <w:szCs w:val="21"/>
              </w:rPr>
              <w:t>服务方案</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5746" w:type="dxa"/>
          </w:tcPr>
          <w:p>
            <w:pPr>
              <w:widowControl/>
              <w:spacing w:line="400" w:lineRule="exact"/>
              <w:jc w:val="left"/>
              <w:rPr>
                <w:rFonts w:ascii="宋体" w:hAnsi="宋体" w:cs="宋体"/>
                <w:kern w:val="0"/>
                <w:szCs w:val="21"/>
              </w:rPr>
            </w:pPr>
            <w:r>
              <w:rPr>
                <w:rFonts w:hint="eastAsia" w:ascii="宋体" w:hAnsi="宋体" w:cs="宋体"/>
                <w:kern w:val="0"/>
                <w:szCs w:val="21"/>
              </w:rPr>
              <w:t>根据供应商针对本项目制定的后期维护服务方案及培训计划、服务措施、服务响应、应急预案等，进行横向比较；优得4-5分，良得2-3分，一般得1分，较差不得分。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质量保证措施</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5746" w:type="dxa"/>
          </w:tcPr>
          <w:p>
            <w:pPr>
              <w:widowControl/>
              <w:spacing w:line="400" w:lineRule="exact"/>
              <w:jc w:val="left"/>
              <w:rPr>
                <w:rFonts w:ascii="宋体" w:hAnsi="宋体" w:cs="宋体"/>
                <w:kern w:val="0"/>
                <w:szCs w:val="21"/>
              </w:rPr>
            </w:pPr>
            <w:r>
              <w:rPr>
                <w:rFonts w:hint="eastAsia" w:ascii="宋体" w:hAnsi="宋体" w:cs="宋体"/>
                <w:kern w:val="0"/>
                <w:szCs w:val="21"/>
              </w:rPr>
              <w:t>根据供应商针对本项目的质量保证计划及详细项目实施方案和实施进度计划的合理性、可行性进行横向比较，优得4-5分，良得2-3分，一般得1分，较差不得分。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0" w:hRule="atLeast"/>
        </w:trPr>
        <w:tc>
          <w:tcPr>
            <w:tcW w:w="1074" w:type="dxa"/>
            <w:vMerge w:val="restart"/>
            <w:vAlign w:val="center"/>
          </w:tcPr>
          <w:p>
            <w:pPr>
              <w:widowControl/>
              <w:spacing w:line="400" w:lineRule="exact"/>
              <w:jc w:val="left"/>
              <w:rPr>
                <w:rFonts w:ascii="宋体" w:hAnsi="宋体" w:cs="宋体"/>
                <w:kern w:val="0"/>
                <w:szCs w:val="21"/>
              </w:rPr>
            </w:pPr>
            <w:r>
              <w:rPr>
                <w:rFonts w:hint="eastAsia" w:ascii="宋体" w:hAnsi="宋体" w:cs="宋体"/>
                <w:kern w:val="0"/>
                <w:szCs w:val="21"/>
              </w:rPr>
              <w:t>商务部分（20分）</w:t>
            </w: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类似业绩</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5746" w:type="dxa"/>
            <w:vAlign w:val="center"/>
          </w:tcPr>
          <w:p>
            <w:pPr>
              <w:spacing w:line="400" w:lineRule="exact"/>
              <w:rPr>
                <w:rFonts w:ascii="宋体" w:hAnsi="宋体" w:cs="宋体"/>
                <w:kern w:val="0"/>
                <w:szCs w:val="21"/>
              </w:rPr>
            </w:pPr>
            <w:r>
              <w:rPr>
                <w:rFonts w:hint="eastAsia" w:ascii="宋体" w:hAnsi="宋体" w:cs="宋体"/>
                <w:snapToGrid w:val="0"/>
                <w:kern w:val="0"/>
                <w:szCs w:val="21"/>
                <w:lang w:val="zh-CN"/>
              </w:rPr>
              <w:t>供应商</w:t>
            </w:r>
            <w:r>
              <w:rPr>
                <w:rFonts w:hint="eastAsia" w:ascii="宋体" w:hAnsi="宋体" w:cs="宋体"/>
                <w:kern w:val="0"/>
                <w:szCs w:val="21"/>
              </w:rPr>
              <w:t>近三年（2015年至今）承担过类似业绩，每提供一份业绩，得1分；本项最高得5分。（供应商须在响应文件中附合同或中标通知书复印件）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质保期</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2分</w:t>
            </w:r>
          </w:p>
        </w:tc>
        <w:tc>
          <w:tcPr>
            <w:tcW w:w="5746" w:type="dxa"/>
            <w:vAlign w:val="center"/>
          </w:tcPr>
          <w:p>
            <w:pPr>
              <w:spacing w:line="400" w:lineRule="exact"/>
              <w:rPr>
                <w:rFonts w:ascii="宋体" w:hAnsi="宋体" w:cs="宋体"/>
                <w:snapToGrid w:val="0"/>
                <w:kern w:val="0"/>
                <w:szCs w:val="21"/>
                <w:lang w:val="zh-CN"/>
              </w:rPr>
            </w:pPr>
            <w:r>
              <w:rPr>
                <w:rFonts w:hint="eastAsia" w:ascii="宋体" w:hAnsi="宋体" w:cs="宋体"/>
                <w:snapToGrid w:val="0"/>
                <w:kern w:val="0"/>
                <w:szCs w:val="21"/>
                <w:lang w:val="zh-CN"/>
              </w:rPr>
              <w:t>供应商针对本项目所承诺的质保期在满足招标文件基础上，每增加一年加</w:t>
            </w:r>
            <w:r>
              <w:rPr>
                <w:rFonts w:hint="eastAsia" w:ascii="宋体" w:hAnsi="宋体" w:cs="宋体"/>
                <w:snapToGrid w:val="0"/>
                <w:kern w:val="0"/>
                <w:szCs w:val="21"/>
              </w:rPr>
              <w:t>1</w:t>
            </w:r>
            <w:r>
              <w:rPr>
                <w:rFonts w:hint="eastAsia" w:ascii="宋体" w:hAnsi="宋体" w:cs="宋体"/>
                <w:snapToGrid w:val="0"/>
                <w:kern w:val="0"/>
                <w:szCs w:val="21"/>
                <w:lang w:val="zh-CN"/>
              </w:rPr>
              <w:t>分，最多得</w:t>
            </w:r>
            <w:r>
              <w:rPr>
                <w:rFonts w:hint="eastAsia" w:ascii="宋体" w:hAnsi="宋体" w:cs="宋体"/>
                <w:snapToGrid w:val="0"/>
                <w:kern w:val="0"/>
                <w:szCs w:val="21"/>
              </w:rPr>
              <w:t>2</w:t>
            </w:r>
            <w:r>
              <w:rPr>
                <w:rFonts w:hint="eastAsia" w:ascii="宋体" w:hAnsi="宋体" w:cs="宋体"/>
                <w:snapToGrid w:val="0"/>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售后服务</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5746" w:type="dxa"/>
            <w:vAlign w:val="center"/>
          </w:tcPr>
          <w:p>
            <w:pPr>
              <w:widowControl/>
              <w:spacing w:line="400" w:lineRule="exact"/>
              <w:rPr>
                <w:rFonts w:ascii="宋体" w:hAnsi="宋体" w:cs="宋体"/>
                <w:kern w:val="0"/>
                <w:szCs w:val="21"/>
              </w:rPr>
            </w:pPr>
            <w:r>
              <w:rPr>
                <w:rFonts w:hint="eastAsia" w:ascii="宋体" w:hAnsi="宋体" w:cs="宋体"/>
                <w:snapToGrid w:val="0"/>
                <w:kern w:val="0"/>
                <w:szCs w:val="21"/>
                <w:lang w:val="zh-CN"/>
              </w:rPr>
              <w:t>根据供应商</w:t>
            </w:r>
            <w:r>
              <w:rPr>
                <w:rFonts w:hint="eastAsia" w:ascii="宋体" w:hAnsi="宋体" w:cs="宋体"/>
                <w:kern w:val="0"/>
                <w:szCs w:val="21"/>
              </w:rPr>
              <w:t>质保标准、售后服务保证措施、质保期内出现问题的响应时间、解决问题时间、回访巡检承诺，进行横向比较，优得4-5分，良得2-3分，一般得1分，未提供不得分。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验收方案</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5746"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根据供应商针对本项目所拟定的验收方案的合理性、可行性进行横向比较。优得4-5分，良好得2-3分，一般得1分，未提供不得分。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074" w:type="dxa"/>
            <w:vMerge w:val="continue"/>
            <w:vAlign w:val="center"/>
          </w:tcPr>
          <w:p>
            <w:pPr>
              <w:widowControl/>
              <w:spacing w:line="400" w:lineRule="exact"/>
              <w:jc w:val="left"/>
              <w:rPr>
                <w:rFonts w:ascii="宋体" w:hAnsi="宋体" w:cs="宋体"/>
                <w:kern w:val="0"/>
                <w:szCs w:val="21"/>
              </w:rPr>
            </w:pPr>
          </w:p>
        </w:tc>
        <w:tc>
          <w:tcPr>
            <w:tcW w:w="1578"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标书编制</w:t>
            </w:r>
          </w:p>
        </w:tc>
        <w:tc>
          <w:tcPr>
            <w:tcW w:w="789"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3分</w:t>
            </w:r>
          </w:p>
        </w:tc>
        <w:tc>
          <w:tcPr>
            <w:tcW w:w="5746" w:type="dxa"/>
            <w:vAlign w:val="center"/>
          </w:tcPr>
          <w:p>
            <w:pPr>
              <w:widowControl/>
              <w:spacing w:line="400" w:lineRule="exact"/>
              <w:jc w:val="left"/>
              <w:rPr>
                <w:rFonts w:ascii="宋体" w:hAnsi="宋体" w:cs="宋体"/>
                <w:kern w:val="0"/>
                <w:szCs w:val="21"/>
              </w:rPr>
            </w:pPr>
            <w:r>
              <w:rPr>
                <w:rFonts w:hint="eastAsia" w:ascii="宋体" w:hAnsi="宋体" w:cs="宋体"/>
                <w:kern w:val="0"/>
                <w:szCs w:val="21"/>
              </w:rPr>
              <w:t>标书编制（投标文件内容完整、页码清晰、有详细目录、查阅方便的得1-3分；投标文件容易散落，页码不全，盖章、署名不全缺项不得分。）</w:t>
            </w:r>
          </w:p>
        </w:tc>
      </w:tr>
    </w:tbl>
    <w:p>
      <w:pPr>
        <w:rPr>
          <w:rFonts w:ascii="宋体" w:hAnsi="宋体" w:eastAsia="宋体" w:cs="宋体"/>
        </w:rPr>
        <w:sectPr>
          <w:pgSz w:w="11906" w:h="16838"/>
          <w:pgMar w:top="1134" w:right="1191" w:bottom="1134" w:left="1191" w:header="851" w:footer="624" w:gutter="0"/>
          <w:cols w:space="425" w:num="1"/>
          <w:docGrid w:type="linesAndChars" w:linePitch="312" w:charSpace="0"/>
        </w:sectPr>
      </w:pPr>
      <w:r>
        <w:rPr>
          <w:rFonts w:hint="eastAsia" w:ascii="宋体" w:hAnsi="宋体" w:eastAsia="宋体" w:cs="宋体"/>
          <w:szCs w:val="21"/>
        </w:rPr>
        <w:t xml:space="preserve"> 评委签名：                                                          年   月   日</w:t>
      </w:r>
    </w:p>
    <w:p>
      <w:pPr>
        <w:pStyle w:val="2"/>
        <w:numPr>
          <w:ilvl w:val="0"/>
          <w:numId w:val="1"/>
        </w:numPr>
        <w:jc w:val="center"/>
        <w:rPr>
          <w:rFonts w:ascii="宋体" w:hAnsi="宋体" w:eastAsia="宋体" w:cs="宋体"/>
        </w:rPr>
      </w:pPr>
      <w:r>
        <w:rPr>
          <w:rFonts w:hint="eastAsia" w:ascii="宋体" w:hAnsi="宋体" w:eastAsia="宋体" w:cs="宋体"/>
        </w:rPr>
        <w:t>合同书格式（参考）</w:t>
      </w:r>
      <w:bookmarkEnd w:id="59"/>
      <w:bookmarkEnd w:id="60"/>
      <w:bookmarkEnd w:id="61"/>
      <w:bookmarkEnd w:id="62"/>
      <w:bookmarkEnd w:id="63"/>
      <w:bookmarkEnd w:id="64"/>
      <w:bookmarkEnd w:id="65"/>
    </w:p>
    <w:p>
      <w:pPr>
        <w:pStyle w:val="3"/>
        <w:tabs>
          <w:tab w:val="left" w:pos="576"/>
        </w:tabs>
        <w:spacing w:before="156" w:beforeLines="50" w:after="156" w:afterLines="50" w:line="240" w:lineRule="auto"/>
        <w:jc w:val="center"/>
        <w:rPr>
          <w:rFonts w:ascii="宋体" w:hAnsi="宋体" w:eastAsia="宋体" w:cs="宋体"/>
          <w:b w:val="0"/>
          <w:color w:val="000000"/>
          <w:sz w:val="24"/>
          <w:szCs w:val="24"/>
        </w:rPr>
      </w:pPr>
      <w:bookmarkStart w:id="66" w:name="_Toc340591777"/>
      <w:bookmarkStart w:id="67" w:name="_Toc340221399"/>
      <w:bookmarkStart w:id="68" w:name="_Toc340647880"/>
      <w:bookmarkStart w:id="69" w:name="_Toc340569507"/>
      <w:bookmarkStart w:id="70" w:name="_Toc340591834"/>
      <w:bookmarkStart w:id="71" w:name="_Toc340590574"/>
      <w:bookmarkStart w:id="72" w:name="_Toc514230840"/>
      <w:bookmarkStart w:id="73" w:name="_Toc340649307"/>
      <w:r>
        <w:rPr>
          <w:rFonts w:hint="eastAsia" w:ascii="宋体" w:hAnsi="宋体" w:eastAsia="宋体" w:cs="宋体"/>
          <w:bCs w:val="0"/>
          <w:color w:val="000000"/>
          <w:sz w:val="28"/>
          <w:szCs w:val="28"/>
        </w:rPr>
        <w:t>国内设备购销合同</w:t>
      </w:r>
      <w:bookmarkEnd w:id="66"/>
      <w:bookmarkEnd w:id="67"/>
      <w:bookmarkEnd w:id="68"/>
      <w:bookmarkEnd w:id="69"/>
      <w:bookmarkEnd w:id="70"/>
      <w:bookmarkEnd w:id="71"/>
      <w:bookmarkEnd w:id="72"/>
      <w:bookmarkEnd w:id="73"/>
    </w:p>
    <w:p>
      <w:pPr>
        <w:spacing w:before="312" w:beforeLines="100" w:after="312" w:afterLines="100"/>
        <w:jc w:val="right"/>
        <w:rPr>
          <w:rFonts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合同编号（项目招标编号）：华中师大招字〔        〕</w:t>
      </w:r>
    </w:p>
    <w:p>
      <w:pPr>
        <w:spacing w:line="324" w:lineRule="auto"/>
        <w:rPr>
          <w:rFonts w:ascii="宋体" w:hAnsi="宋体" w:eastAsia="宋体" w:cs="宋体"/>
          <w:sz w:val="24"/>
          <w:szCs w:val="24"/>
        </w:rPr>
      </w:pPr>
      <w:r>
        <w:rPr>
          <w:rFonts w:hint="eastAsia" w:ascii="宋体" w:hAnsi="宋体" w:eastAsia="宋体" w:cs="宋体"/>
          <w:sz w:val="24"/>
          <w:szCs w:val="24"/>
        </w:rPr>
        <w:t>甲方：华中师范大学</w:t>
      </w:r>
    </w:p>
    <w:p>
      <w:pPr>
        <w:spacing w:line="324" w:lineRule="auto"/>
        <w:rPr>
          <w:rFonts w:ascii="宋体" w:hAnsi="宋体" w:eastAsia="宋体" w:cs="宋体"/>
          <w:sz w:val="24"/>
          <w:szCs w:val="24"/>
        </w:rPr>
      </w:pPr>
      <w:r>
        <w:rPr>
          <w:rFonts w:hint="eastAsia" w:ascii="宋体" w:hAnsi="宋体" w:eastAsia="宋体" w:cs="宋体"/>
          <w:sz w:val="24"/>
          <w:szCs w:val="24"/>
        </w:rPr>
        <w:t>乙方：******公司</w:t>
      </w:r>
    </w:p>
    <w:p>
      <w:pPr>
        <w:spacing w:line="324" w:lineRule="auto"/>
        <w:rPr>
          <w:rFonts w:ascii="宋体" w:hAnsi="宋体" w:eastAsia="宋体" w:cs="宋体"/>
          <w:sz w:val="24"/>
          <w:szCs w:val="24"/>
        </w:rPr>
      </w:pP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甲、乙双方就华中师范大学设备仪器项目，根据《中华人民共和国经济合同法》进行协商，同意按照下列条款签订本合同。</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第一条　合同名称</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第二条　设备的名称、规格、型号、数量、单位、总价</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1．******     2套××公司000.00 00000.00</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2．******     1套××公司000.00 00000.00</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合计：人民币（大写）×万×仟×佰×元整（￥00000.00）</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第三条　质量规定</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１．按清单验收。</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２．保证产品的技术规格型号、数量与合同要求完全相同。</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第四条　供货时间及地点</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合同签订后，20 **　年　**月 ** 日前交货，地点：华中师范大学××××。</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第五条　合同价款</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合同总价为人民币：× 万 × 仟 × 佰 ×  元整（￥00000.00 ）。</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其中包括运杂费、安装费、保险费、税费均由乙方负担。</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第六条 验收标准及方式</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验收依据：按合同二、三条，甲方招标文件和乙方投标文件进行验收。</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验收方式：安装调试完毕，十五个工作日内由甲、乙双方共同组织验收，办理最终验收手续，甲方向乙方提供验收文本。</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第七条货款支付方式</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本合同甲、乙双方之间的一切费用均以人民币结算及支付。</w:t>
      </w:r>
    </w:p>
    <w:p>
      <w:pPr>
        <w:snapToGrid w:val="0"/>
        <w:spacing w:before="31" w:beforeLines="10" w:after="31" w:afterLines="10"/>
        <w:rPr>
          <w:rFonts w:ascii="宋体" w:hAnsi="宋体" w:eastAsia="宋体" w:cs="宋体"/>
          <w:color w:val="000000"/>
          <w:sz w:val="24"/>
          <w:szCs w:val="24"/>
        </w:rPr>
      </w:pP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甲方设备验收合格后向乙方支付合同总价额90%款，余款10%作为质保金，验收合格一年后，无质量问题即一次性付清。</w:t>
      </w:r>
    </w:p>
    <w:p>
      <w:pPr>
        <w:spacing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第八条 售后服务及质量保证</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甲方在收到货物后应及时验收，如有异议可在拾天内提出，乙方对货物实行三包，终身维修、免费调试、协作安装、有质量问题三天内解决。我公司自接到用户报故障电话（027-             ）后，公司负责在12小时内（市内）、24小时内（市外）派工程师到现场查找和排除故障，如有意外，将立即通知用户，并按质量保证期的承诺免费修理或更换有缺陷的设备或部件。从验收合格之日起计算，质保期为 ** 年（消耗品除外）。</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第九条 双方的责任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甲方责任：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1．按合同规定支付合同款。</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2．按合同标准及时组织验收。</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乙方责任：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1．保证质量并派工程负责人到现场对产品进行安装调试，直至合格。</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2．按期交货，现场若发现产品不合格或缺少，由乙免费及时更换补齐。</w:t>
      </w:r>
    </w:p>
    <w:p>
      <w:pPr>
        <w:spacing w:line="324" w:lineRule="auto"/>
        <w:ind w:firstLine="480" w:firstLineChars="200"/>
        <w:rPr>
          <w:rFonts w:ascii="宋体" w:hAnsi="宋体" w:eastAsia="宋体" w:cs="宋体"/>
          <w:sz w:val="24"/>
          <w:szCs w:val="24"/>
        </w:rPr>
      </w:pP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第十条 违约责任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甲方违约责任：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1．本合同生效后，若按本合同规定，甲方拖延产品货款一个月后，甲方负责每天按合同总额的千分之一赔偿乙方。</w:t>
      </w:r>
    </w:p>
    <w:p>
      <w:pPr>
        <w:spacing w:line="324" w:lineRule="auto"/>
        <w:ind w:firstLine="480" w:firstLineChars="200"/>
        <w:rPr>
          <w:rFonts w:ascii="宋体" w:hAnsi="宋体" w:eastAsia="宋体" w:cs="宋体"/>
          <w:spacing w:val="-8"/>
          <w:sz w:val="24"/>
          <w:szCs w:val="24"/>
        </w:rPr>
      </w:pPr>
      <w:r>
        <w:rPr>
          <w:rFonts w:hint="eastAsia" w:ascii="宋体" w:hAnsi="宋体" w:eastAsia="宋体" w:cs="宋体"/>
          <w:sz w:val="24"/>
          <w:szCs w:val="24"/>
        </w:rPr>
        <w:t>2．</w:t>
      </w:r>
      <w:r>
        <w:rPr>
          <w:rFonts w:hint="eastAsia" w:ascii="宋体" w:hAnsi="宋体" w:eastAsia="宋体" w:cs="宋体"/>
          <w:spacing w:val="-8"/>
          <w:sz w:val="24"/>
          <w:szCs w:val="24"/>
        </w:rPr>
        <w:t>非乙方供货质量问题，甲方中途不得退货，否则，甲方应按合同总额的百分之十赔偿乙方。</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乙方违约责任：</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1．若乙方不按合同规定时间交付产品，并进行产品安装调试，则由乙方负责每天按合同总额的千分之一赔偿甲方。</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2．乙方中途停止供货，乙方应按合同总额的百分之十赔偿甲方。</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3．乙方所供货物无法通过验收，甲方将拒绝支付货款，乙方应赔偿甲方相应的损失。</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第十一条 不可抗力因素</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由于自然灾害及双方同意的其它不可抗力因素，造成合同不能正常履行，经过有资格的单位证明，按经济合同法规定处理。</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第十二条 争议解决方法</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甲、乙双方在履行合同发生争议时，应通过友好协商的方式解决；若争议协商未果，则双方将争议提交甲方所在地仲裁机构裁决。</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仲裁机构由甲乙双方协议选择。</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第十三条 其它</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有关合同的未尽事宜，由甲乙双方在法律法规和本合同的原则基础上协商处理。</w:t>
      </w:r>
    </w:p>
    <w:p>
      <w:pPr>
        <w:spacing w:before="78" w:beforeLines="25" w:line="324" w:lineRule="auto"/>
        <w:ind w:firstLine="482" w:firstLineChars="200"/>
        <w:rPr>
          <w:rFonts w:ascii="宋体" w:hAnsi="宋体" w:eastAsia="宋体" w:cs="宋体"/>
          <w:b/>
          <w:sz w:val="24"/>
          <w:szCs w:val="24"/>
        </w:rPr>
      </w:pPr>
      <w:r>
        <w:rPr>
          <w:rFonts w:hint="eastAsia" w:ascii="宋体" w:hAnsi="宋体" w:eastAsia="宋体" w:cs="宋体"/>
          <w:b/>
          <w:sz w:val="24"/>
          <w:szCs w:val="24"/>
        </w:rPr>
        <w:t>第十四条 合同生效日期</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合同双方签字、盖章后生效。</w:t>
      </w:r>
    </w:p>
    <w:p>
      <w:pPr>
        <w:spacing w:line="324" w:lineRule="auto"/>
        <w:ind w:firstLine="480" w:firstLineChars="200"/>
        <w:rPr>
          <w:rFonts w:ascii="宋体" w:hAnsi="宋体" w:eastAsia="宋体" w:cs="宋体"/>
          <w:sz w:val="24"/>
          <w:szCs w:val="24"/>
        </w:rPr>
      </w:pPr>
      <w:r>
        <w:rPr>
          <w:rFonts w:hint="eastAsia" w:ascii="宋体" w:hAnsi="宋体" w:eastAsia="宋体" w:cs="宋体"/>
          <w:sz w:val="24"/>
          <w:szCs w:val="24"/>
        </w:rPr>
        <w:t>本合同正本一式肆份，甲方叁份，乙方壹份。</w:t>
      </w:r>
    </w:p>
    <w:p>
      <w:pPr>
        <w:spacing w:line="324" w:lineRule="auto"/>
        <w:rPr>
          <w:rFonts w:ascii="宋体" w:hAnsi="宋体" w:eastAsia="宋体" w:cs="宋体"/>
          <w:sz w:val="24"/>
          <w:szCs w:val="24"/>
        </w:rPr>
      </w:pPr>
    </w:p>
    <w:p>
      <w:pPr>
        <w:spacing w:line="324" w:lineRule="auto"/>
        <w:rPr>
          <w:rFonts w:ascii="宋体" w:hAnsi="宋体" w:eastAsia="宋体" w:cs="宋体"/>
          <w:sz w:val="24"/>
          <w:szCs w:val="24"/>
        </w:rPr>
      </w:pPr>
      <w:r>
        <w:rPr>
          <w:rFonts w:hint="eastAsia" w:ascii="宋体" w:hAnsi="宋体" w:eastAsia="宋体" w:cs="宋体"/>
          <w:sz w:val="24"/>
          <w:szCs w:val="24"/>
        </w:rPr>
        <w:t>甲  方：华中师范大学                         乙  方：</w:t>
      </w:r>
    </w:p>
    <w:p>
      <w:pPr>
        <w:spacing w:line="324" w:lineRule="auto"/>
        <w:rPr>
          <w:rFonts w:ascii="宋体" w:hAnsi="宋体" w:eastAsia="宋体" w:cs="宋体"/>
          <w:sz w:val="24"/>
          <w:szCs w:val="24"/>
        </w:rPr>
      </w:pPr>
      <w:r>
        <w:rPr>
          <w:rFonts w:hint="eastAsia" w:ascii="宋体" w:hAnsi="宋体" w:eastAsia="宋体" w:cs="宋体"/>
          <w:sz w:val="24"/>
          <w:szCs w:val="24"/>
        </w:rPr>
        <w:t>法定代表人或委托代理人：                     法定代表人：</w:t>
      </w:r>
    </w:p>
    <w:p>
      <w:pPr>
        <w:spacing w:line="324" w:lineRule="auto"/>
        <w:rPr>
          <w:rFonts w:ascii="宋体" w:hAnsi="宋体" w:eastAsia="宋体" w:cs="宋体"/>
          <w:sz w:val="24"/>
          <w:szCs w:val="24"/>
        </w:rPr>
      </w:pPr>
      <w:r>
        <w:rPr>
          <w:rFonts w:hint="eastAsia" w:ascii="宋体" w:hAnsi="宋体" w:eastAsia="宋体" w:cs="宋体"/>
          <w:sz w:val="24"/>
          <w:szCs w:val="24"/>
        </w:rPr>
        <w:t>用户代表人：                                 委托代理人：</w:t>
      </w:r>
    </w:p>
    <w:p>
      <w:pPr>
        <w:spacing w:line="324" w:lineRule="auto"/>
        <w:rPr>
          <w:rFonts w:ascii="宋体" w:hAnsi="宋体" w:eastAsia="宋体" w:cs="宋体"/>
          <w:sz w:val="24"/>
          <w:szCs w:val="24"/>
        </w:rPr>
      </w:pPr>
      <w:r>
        <w:rPr>
          <w:rFonts w:hint="eastAsia" w:ascii="宋体" w:hAnsi="宋体" w:eastAsia="宋体" w:cs="宋体"/>
          <w:sz w:val="24"/>
          <w:szCs w:val="24"/>
        </w:rPr>
        <w:t>电  话：                                     电  话：</w:t>
      </w:r>
    </w:p>
    <w:p>
      <w:pPr>
        <w:spacing w:line="324" w:lineRule="auto"/>
        <w:rPr>
          <w:rFonts w:ascii="宋体" w:hAnsi="宋体" w:eastAsia="宋体" w:cs="宋体"/>
          <w:sz w:val="24"/>
          <w:szCs w:val="24"/>
        </w:rPr>
      </w:pPr>
      <w:r>
        <w:rPr>
          <w:rFonts w:hint="eastAsia" w:ascii="宋体" w:hAnsi="宋体" w:eastAsia="宋体" w:cs="宋体"/>
          <w:sz w:val="24"/>
          <w:szCs w:val="24"/>
        </w:rPr>
        <w:t>传  真：                                     传  真：</w:t>
      </w:r>
    </w:p>
    <w:p>
      <w:pPr>
        <w:spacing w:line="324" w:lineRule="auto"/>
        <w:rPr>
          <w:rFonts w:ascii="宋体" w:hAnsi="宋体" w:eastAsia="宋体" w:cs="宋体"/>
          <w:sz w:val="24"/>
          <w:szCs w:val="24"/>
        </w:rPr>
      </w:pPr>
      <w:r>
        <w:rPr>
          <w:rFonts w:hint="eastAsia" w:ascii="宋体" w:hAnsi="宋体" w:eastAsia="宋体" w:cs="宋体"/>
          <w:sz w:val="24"/>
          <w:szCs w:val="24"/>
        </w:rPr>
        <w:t>地  址：                                     地  址：</w:t>
      </w:r>
    </w:p>
    <w:p>
      <w:pPr>
        <w:spacing w:line="324" w:lineRule="auto"/>
        <w:rPr>
          <w:rFonts w:ascii="宋体" w:hAnsi="宋体" w:eastAsia="宋体" w:cs="宋体"/>
          <w:sz w:val="24"/>
          <w:szCs w:val="24"/>
        </w:rPr>
      </w:pPr>
      <w:r>
        <w:rPr>
          <w:rFonts w:hint="eastAsia" w:ascii="宋体" w:hAnsi="宋体" w:eastAsia="宋体" w:cs="宋体"/>
          <w:sz w:val="24"/>
          <w:szCs w:val="24"/>
        </w:rPr>
        <w:t>邮  编：                                     邮  编：</w:t>
      </w:r>
    </w:p>
    <w:p>
      <w:pPr>
        <w:rPr>
          <w:rFonts w:ascii="宋体" w:hAnsi="宋体" w:eastAsia="宋体" w:cs="宋体"/>
          <w:sz w:val="24"/>
          <w:szCs w:val="24"/>
        </w:rPr>
      </w:pPr>
      <w:r>
        <w:rPr>
          <w:rFonts w:hint="eastAsia" w:ascii="宋体" w:hAnsi="宋体" w:eastAsia="宋体" w:cs="宋体"/>
          <w:sz w:val="24"/>
          <w:szCs w:val="24"/>
        </w:rPr>
        <w:t>日  期：    年    月    日                   日  期：   年    月    日</w:t>
      </w:r>
    </w:p>
    <w:p>
      <w:pPr>
        <w:rPr>
          <w:rFonts w:ascii="宋体" w:hAnsi="宋体" w:eastAsia="宋体" w:cs="宋体"/>
          <w:sz w:val="24"/>
          <w:szCs w:val="24"/>
        </w:rPr>
      </w:pPr>
      <w:r>
        <w:rPr>
          <w:rFonts w:hint="eastAsia" w:ascii="宋体" w:hAnsi="宋体" w:eastAsia="宋体" w:cs="宋体"/>
          <w:sz w:val="24"/>
          <w:szCs w:val="24"/>
        </w:rPr>
        <w:br w:type="page"/>
      </w:r>
    </w:p>
    <w:p>
      <w:pPr>
        <w:spacing w:line="420" w:lineRule="exact"/>
        <w:ind w:firstLine="557" w:firstLineChars="198"/>
        <w:jc w:val="center"/>
        <w:rPr>
          <w:rFonts w:ascii="新宋体" w:hAnsi="新宋体" w:eastAsia="新宋体"/>
          <w:b/>
          <w:color w:val="000000"/>
          <w:sz w:val="30"/>
          <w:szCs w:val="30"/>
        </w:rPr>
      </w:pPr>
      <w:r>
        <w:rPr>
          <w:rFonts w:hint="eastAsia" w:ascii="新宋体" w:hAnsi="新宋体" w:eastAsia="新宋体"/>
          <w:b/>
          <w:color w:val="000000"/>
          <w:sz w:val="28"/>
          <w:szCs w:val="28"/>
        </w:rPr>
        <w:t>进口设备供货及技术服务协议</w:t>
      </w:r>
      <w:r>
        <w:rPr>
          <w:rFonts w:hint="eastAsia" w:ascii="新宋体" w:hAnsi="新宋体" w:eastAsia="新宋体"/>
          <w:b/>
          <w:color w:val="000000"/>
          <w:sz w:val="30"/>
          <w:szCs w:val="30"/>
        </w:rPr>
        <w:t xml:space="preserve">    </w:t>
      </w:r>
    </w:p>
    <w:p>
      <w:pPr>
        <w:spacing w:line="420" w:lineRule="exact"/>
        <w:ind w:firstLine="554" w:firstLineChars="198"/>
        <w:jc w:val="center"/>
        <w:rPr>
          <w:rFonts w:ascii="新宋体" w:hAnsi="新宋体" w:eastAsia="新宋体"/>
          <w:color w:val="000000"/>
          <w:sz w:val="28"/>
          <w:szCs w:val="28"/>
        </w:rPr>
      </w:pPr>
      <w:r>
        <w:rPr>
          <w:rFonts w:hint="eastAsia" w:ascii="新宋体" w:hAnsi="新宋体" w:eastAsia="新宋体"/>
          <w:color w:val="000000"/>
          <w:sz w:val="28"/>
          <w:szCs w:val="28"/>
        </w:rPr>
        <w:t>招标编号：    号</w:t>
      </w:r>
      <w:r>
        <w:rPr>
          <w:rFonts w:hint="eastAsia" w:ascii="新宋体" w:hAnsi="新宋体" w:eastAsia="新宋体"/>
          <w:color w:val="000000"/>
          <w:sz w:val="28"/>
          <w:szCs w:val="28"/>
        </w:rPr>
        <w:br w:type="textWrapping"/>
      </w:r>
    </w:p>
    <w:p>
      <w:pPr>
        <w:spacing w:line="420" w:lineRule="exact"/>
        <w:rPr>
          <w:rFonts w:ascii="宋体" w:hAnsi="宋体" w:eastAsia="宋体" w:cs="宋体"/>
          <w:color w:val="000000"/>
          <w:sz w:val="24"/>
          <w:szCs w:val="24"/>
        </w:rPr>
      </w:pPr>
      <w:r>
        <w:rPr>
          <w:rFonts w:hint="eastAsia" w:ascii="宋体" w:hAnsi="宋体" w:eastAsia="宋体" w:cs="宋体"/>
          <w:color w:val="000000"/>
          <w:sz w:val="24"/>
          <w:szCs w:val="24"/>
        </w:rPr>
        <w:t xml:space="preserve">甲方：华中师范大学                         </w:t>
      </w:r>
    </w:p>
    <w:p>
      <w:pPr>
        <w:spacing w:line="420" w:lineRule="exact"/>
        <w:rPr>
          <w:rFonts w:ascii="宋体" w:hAnsi="宋体" w:eastAsia="宋体" w:cs="宋体"/>
          <w:color w:val="000000"/>
          <w:sz w:val="24"/>
          <w:szCs w:val="24"/>
        </w:rPr>
      </w:pPr>
      <w:r>
        <w:rPr>
          <w:rFonts w:hint="eastAsia" w:ascii="宋体" w:hAnsi="宋体" w:eastAsia="宋体" w:cs="宋体"/>
          <w:color w:val="000000"/>
          <w:sz w:val="24"/>
          <w:szCs w:val="24"/>
        </w:rPr>
        <w:t>乙方：××公司   </w:t>
      </w:r>
      <w:r>
        <w:rPr>
          <w:rFonts w:hint="eastAsia" w:ascii="宋体" w:hAnsi="宋体" w:eastAsia="宋体" w:cs="宋体"/>
          <w:color w:val="000000"/>
          <w:sz w:val="24"/>
          <w:szCs w:val="24"/>
        </w:rPr>
        <w:br w:type="textWrapping"/>
      </w:r>
    </w:p>
    <w:p>
      <w:pPr>
        <w:spacing w:line="420" w:lineRule="exact"/>
        <w:rPr>
          <w:rFonts w:ascii="宋体" w:hAnsi="宋体" w:eastAsia="宋体" w:cs="宋体"/>
          <w:color w:val="000000"/>
          <w:sz w:val="24"/>
          <w:szCs w:val="24"/>
        </w:rPr>
      </w:pPr>
      <w:r>
        <w:rPr>
          <w:rFonts w:hint="eastAsia" w:ascii="宋体" w:hAnsi="宋体" w:eastAsia="宋体" w:cs="宋体"/>
          <w:color w:val="000000"/>
          <w:sz w:val="24"/>
          <w:szCs w:val="24"/>
        </w:rPr>
        <w:t>甲乙双方经友好协商，就甲方向乙方</w:t>
      </w:r>
      <w:r>
        <w:rPr>
          <w:rFonts w:hint="eastAsia" w:ascii="宋体" w:hAnsi="宋体" w:eastAsia="宋体" w:cs="宋体"/>
          <w:b/>
          <w:color w:val="000000"/>
          <w:sz w:val="24"/>
          <w:szCs w:val="24"/>
        </w:rPr>
        <w:t>购买进口****** 及售后服务</w:t>
      </w:r>
      <w:r>
        <w:rPr>
          <w:rFonts w:hint="eastAsia" w:ascii="宋体" w:hAnsi="宋体" w:eastAsia="宋体" w:cs="宋体"/>
          <w:color w:val="000000"/>
          <w:sz w:val="24"/>
          <w:szCs w:val="24"/>
        </w:rPr>
        <w:t>事宜达成以下协议：</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 甲方同意购买乙方的********，设备名称、规格型号、数量及金额见下表：</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仪器设备名称 规格型号 生产厂商 配置及技术指标 数量 单价 总  价 优惠价</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合计（大写）：CIF武汉    美元</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2. 甲方根据本协议内容安排外贸代理公司与供货方签订代理进口合同，负责办理有关免税批文，以利进口货物的报关通关。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 仪器交货期为收到信用证后××个月。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4. 甲方付款方式：采取信用证方式（L／C），签订合同后开出100％信用证，90％见单即付，10％作为质保金在验收合格一个月采取电汇或其他方式支付（或者货到验收合格后付款（后T/T）方式）。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5. 乙方保证供应的仪器设备完全符合本协议所定的原生产厂商所规定的质量、规格、性能和技术指标，并应符合甲方招标文件及乙方投标文件的内容，确保该产品为全新未使用过的仪器，否则应保证更换并向甲方支付相关损失或退货。</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6. 在货物抵达甲方最终用户所在的科室后五个工作日内，乙方对仪器进行安装调试，并负责对甲方操作人员进行培训，货物由甲方组织验收。</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7. 乙方保证在设备正确安装，使用和保养的条件下，其使用寿命达到其设计要求。</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8.质保期为验收合格后12个月。质保期内设备质量或安装调试原因引起的全部维修费用（包括更换零配件的费用）均由乙方承担；质保期外，乙方按接到用户故障通知后24小时之内上门服务，并自行承担交通、生活、住宿费等。维修服务的联系电话是027-××××××××，联系人为×××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9. 乙方在仪器设备抵达两周前书面通知甲方货物安装所需条件，甲方在仪器设备抵达安装地壹周前准备好安装条件，以利货物的正常安装调试。</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10.甲、乙双方如有违约事项，按中华人民共和国合同法和国际贸易惯例执行。</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11.本协议一式四份，甲方持三份；乙方持一份，并作为甲乙双方同外贸代理之间商务合同的有效依据。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12.本协议技术附件及补充协议（如有的话）作为外贸合同的有效组成部分，具有同等法律效力。（技术附件应有用户代表及乙方签字、盖章）</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13.本协议如发生纠纷，双方应友好协商解决，如协商不成，可向武汉仲裁委员会申请仲裁。</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14.本协议未尽事宜，由甲乙双方友好协商解决。</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15.本协议甲乙双方签字（用中文名钢笔签）盖章后生效。</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甲方：华中师范大学       乙方：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授权代表签字：            委托代理人：</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 xml:space="preserve">用户代表签字：                  联系方式：         </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联系方式：</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日期：  年  月  日       日期： 年  月  日</w:t>
      </w:r>
    </w:p>
    <w:p>
      <w:pPr>
        <w:rPr>
          <w:rFonts w:ascii="宋体" w:hAnsi="宋体" w:eastAsia="宋体" w:cs="宋体"/>
          <w:sz w:val="24"/>
          <w:szCs w:val="24"/>
        </w:rPr>
      </w:pPr>
      <w:r>
        <w:rPr>
          <w:rFonts w:hint="eastAsia" w:ascii="宋体" w:hAnsi="宋体" w:eastAsia="宋体" w:cs="宋体"/>
          <w:sz w:val="24"/>
          <w:szCs w:val="24"/>
        </w:rPr>
        <w:br w:type="page"/>
      </w:r>
    </w:p>
    <w:p>
      <w:pPr>
        <w:pStyle w:val="2"/>
        <w:numPr>
          <w:ilvl w:val="0"/>
          <w:numId w:val="1"/>
        </w:numPr>
        <w:jc w:val="center"/>
        <w:rPr>
          <w:rFonts w:ascii="宋体" w:hAnsi="宋体" w:eastAsia="宋体" w:cs="宋体"/>
        </w:rPr>
      </w:pPr>
      <w:bookmarkStart w:id="74" w:name="_Toc494664994"/>
      <w:bookmarkStart w:id="75" w:name="_Toc494702264"/>
      <w:bookmarkStart w:id="76" w:name="_Toc495848914"/>
      <w:bookmarkStart w:id="77" w:name="_Toc494665944"/>
      <w:bookmarkStart w:id="78" w:name="_Toc494665547"/>
      <w:bookmarkStart w:id="79" w:name="_Toc494721094"/>
      <w:bookmarkStart w:id="80" w:name="_Toc494745311"/>
      <w:r>
        <w:rPr>
          <w:rFonts w:hint="eastAsia" w:ascii="宋体" w:hAnsi="宋体" w:eastAsia="宋体" w:cs="宋体"/>
        </w:rPr>
        <w:t>投标文件格式（参考）</w:t>
      </w:r>
      <w:bookmarkEnd w:id="74"/>
      <w:bookmarkEnd w:id="75"/>
      <w:bookmarkEnd w:id="76"/>
      <w:bookmarkEnd w:id="77"/>
      <w:bookmarkEnd w:id="78"/>
      <w:bookmarkEnd w:id="79"/>
      <w:bookmarkEnd w:id="80"/>
    </w:p>
    <w:p>
      <w:pPr>
        <w:jc w:val="center"/>
        <w:rPr>
          <w:rFonts w:ascii="宋体" w:hAnsi="宋体" w:eastAsia="宋体" w:cs="宋体"/>
          <w:b/>
          <w:bCs/>
          <w:sz w:val="36"/>
          <w:szCs w:val="36"/>
        </w:rPr>
      </w:pPr>
      <w:r>
        <w:rPr>
          <w:rFonts w:hint="eastAsia" w:ascii="宋体" w:hAnsi="宋体" w:eastAsia="宋体" w:cs="宋体"/>
          <w:b/>
          <w:bCs/>
          <w:sz w:val="36"/>
          <w:szCs w:val="36"/>
        </w:rPr>
        <w:t xml:space="preserve"> </w:t>
      </w:r>
    </w:p>
    <w:p>
      <w:pPr>
        <w:jc w:val="center"/>
        <w:rPr>
          <w:rFonts w:ascii="宋体" w:hAnsi="宋体" w:eastAsia="宋体" w:cs="宋体"/>
          <w:b/>
          <w:bCs/>
          <w:sz w:val="36"/>
          <w:szCs w:val="36"/>
        </w:rPr>
      </w:pPr>
    </w:p>
    <w:p>
      <w:pPr>
        <w:jc w:val="center"/>
        <w:rPr>
          <w:rFonts w:ascii="宋体" w:hAnsi="宋体" w:eastAsia="宋体" w:cs="宋体"/>
          <w:sz w:val="44"/>
        </w:rPr>
      </w:pPr>
      <w:r>
        <w:rPr>
          <w:rFonts w:hint="eastAsia" w:ascii="宋体" w:hAnsi="宋体" w:eastAsia="宋体" w:cs="宋体"/>
          <w:b/>
          <w:bCs/>
          <w:spacing w:val="300"/>
          <w:kern w:val="0"/>
          <w:sz w:val="110"/>
          <w:szCs w:val="110"/>
        </w:rPr>
        <w:t>投标文件</w:t>
      </w:r>
    </w:p>
    <w:p>
      <w:pPr>
        <w:jc w:val="center"/>
        <w:rPr>
          <w:rFonts w:ascii="宋体" w:hAnsi="宋体" w:eastAsia="宋体" w:cs="宋体"/>
          <w:sz w:val="44"/>
        </w:rPr>
      </w:pPr>
    </w:p>
    <w:p>
      <w:pPr>
        <w:ind w:firstLine="2331" w:firstLineChars="645"/>
        <w:rPr>
          <w:rFonts w:ascii="宋体" w:hAnsi="宋体" w:eastAsia="宋体" w:cs="宋体"/>
          <w:b/>
          <w:bCs/>
          <w:sz w:val="36"/>
          <w:szCs w:val="36"/>
        </w:rPr>
      </w:pPr>
    </w:p>
    <w:p>
      <w:pPr>
        <w:ind w:firstLine="1066" w:firstLineChars="295"/>
        <w:rPr>
          <w:rFonts w:ascii="宋体" w:hAnsi="宋体" w:eastAsia="宋体" w:cs="宋体"/>
          <w:b/>
          <w:bCs/>
          <w:sz w:val="32"/>
          <w:szCs w:val="36"/>
        </w:rPr>
      </w:pPr>
      <w:r>
        <w:rPr>
          <w:rFonts w:hint="eastAsia" w:ascii="宋体" w:hAnsi="宋体" w:eastAsia="宋体" w:cs="宋体"/>
          <w:b/>
          <w:bCs/>
          <w:sz w:val="36"/>
          <w:szCs w:val="36"/>
        </w:rPr>
        <w:t xml:space="preserve">项目编号: </w:t>
      </w:r>
    </w:p>
    <w:p>
      <w:pPr>
        <w:ind w:firstLine="1428" w:firstLineChars="395"/>
        <w:rPr>
          <w:rFonts w:ascii="宋体" w:hAnsi="宋体" w:eastAsia="宋体" w:cs="宋体"/>
          <w:b/>
          <w:bCs/>
          <w:sz w:val="36"/>
          <w:szCs w:val="36"/>
        </w:rPr>
      </w:pPr>
    </w:p>
    <w:p>
      <w:pPr>
        <w:rPr>
          <w:rFonts w:ascii="宋体" w:hAnsi="宋体" w:eastAsia="宋体" w:cs="宋体"/>
          <w:b/>
          <w:bCs/>
          <w:sz w:val="36"/>
          <w:szCs w:val="36"/>
        </w:rPr>
      </w:pPr>
    </w:p>
    <w:p>
      <w:pPr>
        <w:ind w:firstLine="1066" w:firstLineChars="295"/>
        <w:rPr>
          <w:rFonts w:ascii="宋体" w:hAnsi="宋体" w:eastAsia="宋体" w:cs="宋体"/>
          <w:b/>
          <w:bCs/>
          <w:sz w:val="36"/>
          <w:szCs w:val="36"/>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 xml:space="preserve"> </w:t>
      </w:r>
    </w:p>
    <w:p>
      <w:pPr>
        <w:ind w:firstLine="3415" w:firstLineChars="945"/>
        <w:rPr>
          <w:rFonts w:ascii="宋体" w:hAnsi="宋体" w:eastAsia="宋体" w:cs="宋体"/>
          <w:b/>
          <w:bCs/>
          <w:sz w:val="36"/>
          <w:szCs w:val="36"/>
        </w:rPr>
      </w:pPr>
    </w:p>
    <w:p>
      <w:pPr>
        <w:ind w:firstLine="1608" w:firstLineChars="445"/>
        <w:rPr>
          <w:rFonts w:ascii="宋体" w:hAnsi="宋体" w:eastAsia="宋体" w:cs="宋体"/>
          <w:b/>
          <w:bCs/>
          <w:sz w:val="36"/>
          <w:szCs w:val="36"/>
        </w:rPr>
      </w:pPr>
    </w:p>
    <w:p>
      <w:pPr>
        <w:ind w:firstLine="1608" w:firstLineChars="445"/>
        <w:rPr>
          <w:rFonts w:ascii="宋体" w:hAnsi="宋体" w:eastAsia="宋体" w:cs="宋体"/>
          <w:b/>
          <w:bCs/>
          <w:sz w:val="36"/>
          <w:szCs w:val="36"/>
        </w:rPr>
      </w:pPr>
    </w:p>
    <w:p>
      <w:pPr>
        <w:ind w:firstLine="1066" w:firstLineChars="295"/>
        <w:rPr>
          <w:rFonts w:ascii="宋体" w:hAnsi="宋体" w:eastAsia="宋体" w:cs="宋体"/>
          <w:b/>
          <w:bCs/>
          <w:sz w:val="36"/>
          <w:szCs w:val="36"/>
        </w:rPr>
      </w:pPr>
      <w:r>
        <w:rPr>
          <w:rFonts w:hint="eastAsia" w:ascii="宋体" w:hAnsi="宋体" w:eastAsia="宋体" w:cs="宋体"/>
          <w:b/>
          <w:bCs/>
          <w:sz w:val="36"/>
          <w:szCs w:val="36"/>
        </w:rPr>
        <w:t>投标供应商名称：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 xml:space="preserve"> </w:t>
      </w:r>
    </w:p>
    <w:p>
      <w:pPr>
        <w:rPr>
          <w:rFonts w:ascii="宋体" w:hAnsi="宋体" w:eastAsia="宋体" w:cs="宋体"/>
          <w:b/>
          <w:bCs/>
          <w:sz w:val="36"/>
          <w:szCs w:val="36"/>
        </w:rPr>
      </w:pPr>
    </w:p>
    <w:p>
      <w:pPr>
        <w:rPr>
          <w:rFonts w:ascii="宋体" w:hAnsi="宋体" w:eastAsia="宋体" w:cs="宋体"/>
          <w:b/>
          <w:bCs/>
          <w:sz w:val="36"/>
          <w:szCs w:val="36"/>
        </w:rPr>
      </w:pPr>
    </w:p>
    <w:p>
      <w:pPr>
        <w:ind w:firstLine="2873" w:firstLineChars="795"/>
        <w:rPr>
          <w:rFonts w:ascii="宋体" w:hAnsi="宋体" w:eastAsia="宋体" w:cs="宋体"/>
          <w:b/>
          <w:bCs/>
          <w:sz w:val="36"/>
          <w:szCs w:val="36"/>
        </w:rPr>
      </w:pPr>
      <w:r>
        <w:rPr>
          <w:rFonts w:hint="eastAsia" w:ascii="宋体" w:hAnsi="宋体" w:eastAsia="宋体" w:cs="宋体"/>
          <w:b/>
          <w:bCs/>
          <w:sz w:val="36"/>
          <w:szCs w:val="36"/>
        </w:rPr>
        <w:t>二0一  年  月</w:t>
      </w:r>
    </w:p>
    <w:p>
      <w:pPr>
        <w:spacing w:before="312" w:beforeLines="100" w:after="312" w:afterLines="100" w:line="360" w:lineRule="auto"/>
        <w:ind w:right="466"/>
        <w:rPr>
          <w:rFonts w:ascii="宋体" w:hAnsi="宋体" w:eastAsia="宋体" w:cs="宋体"/>
          <w:b/>
          <w:sz w:val="36"/>
          <w:szCs w:val="36"/>
        </w:rPr>
      </w:pPr>
    </w:p>
    <w:p>
      <w:pPr>
        <w:rPr>
          <w:rFonts w:ascii="宋体" w:hAnsi="宋体" w:eastAsia="宋体" w:cs="宋体"/>
        </w:rPr>
      </w:pPr>
      <w:r>
        <w:rPr>
          <w:rFonts w:hint="eastAsia" w:ascii="宋体" w:hAnsi="宋体" w:eastAsia="宋体" w:cs="宋体"/>
        </w:rPr>
        <w:br w:type="page"/>
      </w:r>
    </w:p>
    <w:p>
      <w:pPr>
        <w:adjustRightInd w:val="0"/>
        <w:snapToGrid w:val="0"/>
        <w:jc w:val="center"/>
        <w:outlineLvl w:val="0"/>
        <w:rPr>
          <w:rFonts w:ascii="宋体" w:hAnsi="宋体" w:eastAsia="宋体" w:cs="宋体"/>
          <w:b/>
          <w:bCs/>
          <w:sz w:val="36"/>
          <w:szCs w:val="36"/>
        </w:rPr>
      </w:pPr>
      <w:bookmarkStart w:id="81" w:name="_Toc19146"/>
      <w:bookmarkStart w:id="82" w:name="_Toc11485"/>
      <w:r>
        <w:rPr>
          <w:rFonts w:hint="eastAsia" w:ascii="宋体" w:hAnsi="宋体" w:eastAsia="宋体" w:cs="宋体"/>
          <w:b/>
          <w:bCs/>
          <w:sz w:val="36"/>
          <w:szCs w:val="36"/>
        </w:rPr>
        <w:t>目     录</w:t>
      </w:r>
      <w:bookmarkEnd w:id="81"/>
      <w:bookmarkEnd w:id="82"/>
    </w:p>
    <w:p>
      <w:pPr>
        <w:adjustRightInd w:val="0"/>
        <w:snapToGrid w:val="0"/>
        <w:jc w:val="center"/>
        <w:outlineLvl w:val="0"/>
        <w:rPr>
          <w:rFonts w:ascii="宋体" w:hAnsi="宋体" w:eastAsia="宋体" w:cs="宋体"/>
          <w:bCs/>
          <w:sz w:val="44"/>
          <w:szCs w:val="44"/>
        </w:rPr>
      </w:pPr>
    </w:p>
    <w:p>
      <w:pPr>
        <w:adjustRightInd w:val="0"/>
        <w:snapToGrid w:val="0"/>
        <w:ind w:left="840" w:leftChars="400"/>
        <w:jc w:val="center"/>
        <w:outlineLvl w:val="0"/>
        <w:rPr>
          <w:rFonts w:ascii="宋体" w:hAnsi="宋体" w:eastAsia="宋体" w:cs="宋体"/>
          <w:bCs/>
          <w:szCs w:val="28"/>
        </w:rPr>
      </w:pP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一.评分标准索引示表（格式）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二.资格性、符合性检查索引示表（格式）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三.  投标书（格式）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四.  开标一览表（格式）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五.  交纳投标保证金的银行凭证</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六.  投标分项报价明细表</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七.  设备交货明细表（即装箱单）</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八.  关于资格的声明函</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九.  投标资格证明文件</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  法定代表人身份证明书（格式）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十一.  法人代表授权书（格式）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十二.  投标货物技术文件</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十三.技术偏离表</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十四.商务规格响应、偏离表</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十五.制造厂家授权书（格式）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十六.技术方案书</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十七.服务计划书</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十八.其他资料（格式）</w:t>
      </w:r>
    </w:p>
    <w:p>
      <w:pPr>
        <w:adjustRightInd w:val="0"/>
        <w:snapToGrid w:val="0"/>
        <w:spacing w:line="480" w:lineRule="auto"/>
        <w:ind w:left="840" w:leftChars="400"/>
        <w:outlineLvl w:val="0"/>
        <w:rPr>
          <w:rFonts w:ascii="宋体" w:hAnsi="宋体" w:eastAsia="宋体" w:cs="宋体"/>
          <w:b/>
          <w:sz w:val="24"/>
        </w:rPr>
      </w:pPr>
      <w:r>
        <w:rPr>
          <w:rFonts w:hint="eastAsia" w:ascii="宋体" w:hAnsi="宋体" w:eastAsia="宋体" w:cs="宋体"/>
          <w:b/>
          <w:sz w:val="24"/>
        </w:rPr>
        <w:t>十九.其他个性化分析（格式）</w:t>
      </w:r>
    </w:p>
    <w:p>
      <w:pPr>
        <w:adjustRightInd w:val="0"/>
        <w:snapToGrid w:val="0"/>
        <w:spacing w:line="480" w:lineRule="auto"/>
        <w:ind w:left="840" w:leftChars="400"/>
        <w:outlineLvl w:val="0"/>
        <w:rPr>
          <w:rFonts w:ascii="宋体" w:hAnsi="宋体" w:eastAsia="宋体" w:cs="宋体"/>
          <w:bCs/>
          <w:szCs w:val="28"/>
        </w:rPr>
      </w:pPr>
      <w:r>
        <w:rPr>
          <w:rFonts w:hint="eastAsia" w:ascii="宋体" w:hAnsi="宋体" w:eastAsia="宋体" w:cs="宋体"/>
          <w:b/>
          <w:sz w:val="24"/>
        </w:rPr>
        <w:t>二十.类似销售业绩</w:t>
      </w:r>
    </w:p>
    <w:p>
      <w:pPr>
        <w:adjustRightInd w:val="0"/>
        <w:snapToGrid w:val="0"/>
        <w:spacing w:line="480" w:lineRule="auto"/>
        <w:jc w:val="center"/>
        <w:outlineLvl w:val="0"/>
        <w:rPr>
          <w:rFonts w:ascii="宋体" w:hAnsi="宋体" w:eastAsia="宋体" w:cs="宋体"/>
          <w:b/>
        </w:rPr>
      </w:pPr>
      <w:r>
        <w:rPr>
          <w:rFonts w:hint="eastAsia" w:ascii="宋体" w:hAnsi="宋体" w:eastAsia="宋体" w:cs="宋体"/>
          <w:szCs w:val="21"/>
        </w:rPr>
        <w:br w:type="page"/>
      </w:r>
      <w:r>
        <w:rPr>
          <w:rFonts w:hint="eastAsia" w:ascii="宋体" w:hAnsi="宋体" w:eastAsia="宋体" w:cs="宋体"/>
          <w:b/>
        </w:rPr>
        <w:t>一. 评分标准索引示表（格式）</w:t>
      </w:r>
    </w:p>
    <w:p>
      <w:pPr>
        <w:adjustRightInd w:val="0"/>
        <w:snapToGrid w:val="0"/>
        <w:spacing w:line="480" w:lineRule="auto"/>
        <w:outlineLvl w:val="0"/>
        <w:rPr>
          <w:rFonts w:ascii="宋体" w:hAnsi="宋体" w:eastAsia="宋体" w:cs="宋体"/>
          <w:szCs w:val="21"/>
        </w:rPr>
      </w:pPr>
    </w:p>
    <w:tbl>
      <w:tblPr>
        <w:tblStyle w:val="2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561"/>
        <w:gridCol w:w="781"/>
        <w:gridCol w:w="2560"/>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3"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项目</w:t>
            </w:r>
          </w:p>
        </w:tc>
        <w:tc>
          <w:tcPr>
            <w:tcW w:w="1561"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评审因素</w:t>
            </w:r>
          </w:p>
        </w:tc>
        <w:tc>
          <w:tcPr>
            <w:tcW w:w="781"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分值</w:t>
            </w:r>
          </w:p>
        </w:tc>
        <w:tc>
          <w:tcPr>
            <w:tcW w:w="2560"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细则</w:t>
            </w:r>
          </w:p>
        </w:tc>
        <w:tc>
          <w:tcPr>
            <w:tcW w:w="2553" w:type="dxa"/>
            <w:vAlign w:val="center"/>
          </w:tcPr>
          <w:p>
            <w:pPr>
              <w:widowControl/>
              <w:spacing w:line="400" w:lineRule="exact"/>
              <w:jc w:val="center"/>
              <w:rPr>
                <w:rFonts w:ascii="宋体" w:hAnsi="宋体" w:cs="宋体"/>
                <w:b/>
                <w:bCs/>
                <w:kern w:val="0"/>
                <w:szCs w:val="21"/>
              </w:rPr>
            </w:pPr>
            <w:r>
              <w:rPr>
                <w:rFonts w:hint="eastAsia" w:ascii="宋体" w:hAnsi="宋体" w:cs="宋体"/>
                <w:b/>
                <w:bCs/>
                <w:kern w:val="0"/>
                <w:szCs w:val="21"/>
              </w:rPr>
              <w:t>导航页码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624" w:type="dxa"/>
            <w:gridSpan w:val="2"/>
            <w:vAlign w:val="center"/>
          </w:tcPr>
          <w:p>
            <w:pPr>
              <w:widowControl/>
              <w:spacing w:line="400" w:lineRule="exact"/>
              <w:jc w:val="center"/>
              <w:rPr>
                <w:rFonts w:ascii="宋体" w:hAnsi="宋体" w:cs="宋体"/>
                <w:kern w:val="0"/>
                <w:szCs w:val="21"/>
              </w:rPr>
            </w:pPr>
            <w:r>
              <w:rPr>
                <w:rFonts w:hint="eastAsia" w:ascii="宋体" w:hAnsi="宋体" w:cs="宋体"/>
                <w:kern w:val="0"/>
                <w:szCs w:val="21"/>
              </w:rPr>
              <w:t>价格部分（30分）</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restart"/>
            <w:vAlign w:val="center"/>
          </w:tcPr>
          <w:p>
            <w:pPr>
              <w:widowControl/>
              <w:spacing w:line="400" w:lineRule="exact"/>
              <w:jc w:val="center"/>
              <w:rPr>
                <w:rFonts w:ascii="宋体" w:hAnsi="宋体" w:cs="宋体"/>
                <w:kern w:val="0"/>
                <w:szCs w:val="21"/>
              </w:rPr>
            </w:pPr>
            <w:r>
              <w:rPr>
                <w:rFonts w:hint="eastAsia" w:ascii="宋体" w:hAnsi="宋体" w:cs="宋体"/>
                <w:kern w:val="0"/>
                <w:szCs w:val="21"/>
              </w:rPr>
              <w:t>技术部分（50分）</w:t>
            </w: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产品基本要求</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30分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产品选型</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10分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tcPr>
          <w:p>
            <w:pPr>
              <w:widowControl/>
              <w:spacing w:line="400" w:lineRule="exact"/>
              <w:jc w:val="center"/>
              <w:rPr>
                <w:rFonts w:ascii="宋体" w:hAnsi="宋体" w:cs="宋体"/>
                <w:kern w:val="0"/>
                <w:szCs w:val="21"/>
              </w:rPr>
            </w:pPr>
          </w:p>
          <w:p>
            <w:pPr>
              <w:widowControl/>
              <w:spacing w:line="400" w:lineRule="exact"/>
              <w:jc w:val="center"/>
              <w:rPr>
                <w:rFonts w:ascii="宋体" w:hAnsi="宋体" w:cs="宋体"/>
                <w:kern w:val="0"/>
                <w:szCs w:val="21"/>
              </w:rPr>
            </w:pPr>
            <w:r>
              <w:rPr>
                <w:rFonts w:hint="eastAsia" w:ascii="宋体" w:hAnsi="宋体" w:cs="宋体"/>
                <w:kern w:val="0"/>
                <w:szCs w:val="21"/>
              </w:rPr>
              <w:t>服务方案</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tcPr>
          <w:p>
            <w:pPr>
              <w:widowControl/>
              <w:spacing w:line="4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质量保证措施</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tcPr>
          <w:p>
            <w:pPr>
              <w:widowControl/>
              <w:spacing w:line="4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restart"/>
            <w:vAlign w:val="center"/>
          </w:tcPr>
          <w:p>
            <w:pPr>
              <w:widowControl/>
              <w:spacing w:line="400" w:lineRule="exact"/>
              <w:jc w:val="left"/>
              <w:rPr>
                <w:rFonts w:ascii="宋体" w:hAnsi="宋体" w:cs="宋体"/>
                <w:kern w:val="0"/>
                <w:szCs w:val="21"/>
              </w:rPr>
            </w:pPr>
            <w:r>
              <w:rPr>
                <w:rFonts w:hint="eastAsia" w:ascii="宋体" w:hAnsi="宋体" w:cs="宋体"/>
                <w:kern w:val="0"/>
                <w:szCs w:val="21"/>
              </w:rPr>
              <w:t>商务部分（20分）</w:t>
            </w: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类似业绩</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2560" w:type="dxa"/>
            <w:vAlign w:val="center"/>
          </w:tcPr>
          <w:p>
            <w:pPr>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spacing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质保期</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2分</w:t>
            </w:r>
          </w:p>
        </w:tc>
        <w:tc>
          <w:tcPr>
            <w:tcW w:w="2560" w:type="dxa"/>
            <w:vAlign w:val="center"/>
          </w:tcPr>
          <w:p>
            <w:pPr>
              <w:spacing w:line="400" w:lineRule="exact"/>
              <w:jc w:val="center"/>
              <w:rPr>
                <w:rFonts w:ascii="宋体" w:hAnsi="宋体" w:cs="宋体"/>
                <w:snapToGrid w:val="0"/>
                <w:kern w:val="0"/>
                <w:szCs w:val="21"/>
                <w:lang w:val="zh-CN"/>
              </w:rPr>
            </w:pPr>
            <w:r>
              <w:rPr>
                <w:rFonts w:hint="eastAsia" w:ascii="宋体" w:hAnsi="宋体" w:cs="宋体"/>
                <w:kern w:val="0"/>
                <w:szCs w:val="21"/>
              </w:rPr>
              <w:t>……</w:t>
            </w:r>
          </w:p>
        </w:tc>
        <w:tc>
          <w:tcPr>
            <w:tcW w:w="2553" w:type="dxa"/>
            <w:vAlign w:val="center"/>
          </w:tcPr>
          <w:p>
            <w:pPr>
              <w:spacing w:line="400" w:lineRule="exact"/>
              <w:rPr>
                <w:rFonts w:ascii="宋体" w:hAnsi="宋体" w:cs="宋体"/>
                <w:snapToGrid w:val="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售后服务</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验收方案</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5分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1063" w:type="dxa"/>
            <w:vMerge w:val="continue"/>
            <w:vAlign w:val="center"/>
          </w:tcPr>
          <w:p>
            <w:pPr>
              <w:widowControl/>
              <w:spacing w:line="400" w:lineRule="exact"/>
              <w:jc w:val="left"/>
              <w:rPr>
                <w:rFonts w:ascii="宋体" w:hAnsi="宋体" w:cs="宋体"/>
                <w:kern w:val="0"/>
                <w:szCs w:val="21"/>
              </w:rPr>
            </w:pPr>
          </w:p>
        </w:tc>
        <w:tc>
          <w:tcPr>
            <w:tcW w:w="156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标书编制</w:t>
            </w:r>
          </w:p>
        </w:tc>
        <w:tc>
          <w:tcPr>
            <w:tcW w:w="781"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3分</w:t>
            </w:r>
          </w:p>
        </w:tc>
        <w:tc>
          <w:tcPr>
            <w:tcW w:w="2560" w:type="dxa"/>
            <w:vAlign w:val="center"/>
          </w:tcPr>
          <w:p>
            <w:pPr>
              <w:widowControl/>
              <w:spacing w:line="400" w:lineRule="exact"/>
              <w:jc w:val="center"/>
              <w:rPr>
                <w:rFonts w:ascii="宋体" w:hAnsi="宋体" w:cs="宋体"/>
                <w:kern w:val="0"/>
                <w:szCs w:val="21"/>
              </w:rPr>
            </w:pPr>
            <w:r>
              <w:rPr>
                <w:rFonts w:hint="eastAsia" w:ascii="宋体" w:hAnsi="宋体" w:cs="宋体"/>
                <w:kern w:val="0"/>
                <w:szCs w:val="21"/>
              </w:rPr>
              <w:t>……</w:t>
            </w:r>
          </w:p>
        </w:tc>
        <w:tc>
          <w:tcPr>
            <w:tcW w:w="2553" w:type="dxa"/>
            <w:vAlign w:val="center"/>
          </w:tcPr>
          <w:p>
            <w:pPr>
              <w:widowControl/>
              <w:spacing w:line="400" w:lineRule="exact"/>
              <w:jc w:val="left"/>
              <w:rPr>
                <w:rFonts w:ascii="宋体" w:hAnsi="宋体" w:cs="宋体"/>
                <w:kern w:val="0"/>
                <w:szCs w:val="21"/>
              </w:rPr>
            </w:pPr>
          </w:p>
        </w:tc>
      </w:tr>
    </w:tbl>
    <w:p>
      <w:pPr>
        <w:adjustRightInd w:val="0"/>
        <w:snapToGrid w:val="0"/>
        <w:spacing w:line="480" w:lineRule="auto"/>
        <w:outlineLvl w:val="0"/>
        <w:rPr>
          <w:rFonts w:ascii="宋体" w:hAnsi="宋体" w:eastAsia="宋体" w:cs="宋体"/>
          <w:szCs w:val="21"/>
        </w:rPr>
        <w:sectPr>
          <w:pgSz w:w="11906" w:h="16838"/>
          <w:pgMar w:top="1440" w:right="1800" w:bottom="1440" w:left="1800" w:header="851" w:footer="992" w:gutter="0"/>
          <w:cols w:space="720" w:num="1"/>
          <w:titlePg/>
          <w:docGrid w:type="lines" w:linePitch="312" w:charSpace="0"/>
        </w:sectPr>
      </w:pPr>
    </w:p>
    <w:p>
      <w:pPr>
        <w:adjustRightInd w:val="0"/>
        <w:snapToGrid w:val="0"/>
        <w:spacing w:line="480" w:lineRule="auto"/>
        <w:jc w:val="center"/>
        <w:outlineLvl w:val="0"/>
        <w:rPr>
          <w:rFonts w:ascii="宋体" w:hAnsi="宋体" w:eastAsia="宋体" w:cs="宋体"/>
          <w:b/>
        </w:rPr>
      </w:pPr>
      <w:r>
        <w:rPr>
          <w:rFonts w:hint="eastAsia" w:ascii="宋体" w:hAnsi="宋体" w:eastAsia="宋体" w:cs="宋体"/>
          <w:b/>
        </w:rPr>
        <w:t>二.资格性、符合性检查索引示表（格式）</w:t>
      </w:r>
    </w:p>
    <w:p>
      <w:pPr>
        <w:adjustRightInd w:val="0"/>
        <w:snapToGrid w:val="0"/>
        <w:spacing w:line="480" w:lineRule="auto"/>
        <w:jc w:val="center"/>
        <w:outlineLvl w:val="0"/>
        <w:rPr>
          <w:rFonts w:ascii="宋体" w:hAnsi="宋体" w:eastAsia="宋体" w:cs="宋体"/>
          <w:b/>
        </w:rPr>
      </w:pPr>
      <w:r>
        <w:rPr>
          <w:rFonts w:hint="eastAsia" w:ascii="宋体" w:hAnsi="宋体" w:eastAsia="宋体" w:cs="宋体"/>
          <w:b/>
        </w:rPr>
        <w:t>资格性检查索引表</w:t>
      </w:r>
    </w:p>
    <w:p>
      <w:pPr>
        <w:spacing w:line="360" w:lineRule="auto"/>
        <w:ind w:left="4463" w:leftChars="-75" w:right="-205" w:rightChars="-98" w:hanging="4620" w:hangingChars="2200"/>
        <w:rPr>
          <w:rFonts w:ascii="宋体" w:hAnsi="宋体" w:eastAsia="宋体" w:cs="宋体"/>
          <w:szCs w:val="21"/>
        </w:rPr>
      </w:pPr>
      <w:r>
        <w:rPr>
          <w:rFonts w:hint="eastAsia" w:ascii="宋体" w:hAnsi="宋体" w:eastAsia="宋体" w:cs="宋体"/>
        </w:rPr>
        <w:t xml:space="preserve"> 项目编号：                              项目名称：</w:t>
      </w:r>
      <w:r>
        <w:rPr>
          <w:rFonts w:hint="eastAsia" w:ascii="宋体" w:hAnsi="宋体" w:eastAsia="宋体" w:cs="宋体"/>
          <w:bCs/>
          <w:lang w:val="zh-CN"/>
        </w:rPr>
        <w:t xml:space="preserve">                      </w:t>
      </w:r>
    </w:p>
    <w:tbl>
      <w:tblPr>
        <w:tblStyle w:val="2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728"/>
        <w:gridCol w:w="1825"/>
        <w:gridCol w:w="182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2728" w:type="dxa"/>
            <w:tcBorders>
              <w:tl2br w:val="single" w:color="auto" w:sz="4" w:space="0"/>
            </w:tcBorders>
          </w:tcPr>
          <w:p>
            <w:pPr>
              <w:jc w:val="cente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-17780</wp:posOffset>
                      </wp:positionV>
                      <wp:extent cx="635" cy="0"/>
                      <wp:effectExtent l="0" t="0" r="0" b="0"/>
                      <wp:wrapNone/>
                      <wp:docPr id="16"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0pt;margin-top:-1.4pt;height:0pt;width:0.05pt;z-index:251698176;mso-width-relative:page;mso-height-relative:page;" filled="f" stroked="t" coordsize="21600,21600" o:gfxdata="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zt&#10;e0TQAAAAAwEAAA8AAAAAAAAAAQAgAAAAIgAAAGRycy9kb3ducmV2LnhtbFBLAQIUABQAAAAIAIdO&#10;4kCqnmwOuQEAAIoDAAAOAAAAAAAAAAEAIAAAAB8BAABkcnMvZTJvRG9jLnhtbFBLBQYAAAAABgAG&#10;AFkBAABKBQAAAAA=&#10;">
                      <v:fill on="f" focussize="0,0"/>
                      <v:stroke color="#000000" joinstyle="round"/>
                      <v:imagedata o:title=""/>
                      <o:lock v:ext="edit" aspectratio="f"/>
                    </v:line>
                  </w:pict>
                </mc:Fallback>
              </mc:AlternateContent>
            </w:r>
            <w:r>
              <w:rPr>
                <w:rFonts w:ascii="宋体" w:hAnsi="宋体" w:eastAsia="宋体" w:cs="宋体"/>
                <w:szCs w:val="21"/>
              </w:rPr>
              <mc:AlternateContent>
                <mc:Choice Requires="wps">
                  <w:drawing>
                    <wp:anchor distT="0" distB="0" distL="114300" distR="114300" simplePos="0" relativeHeight="251697152" behindDoc="0" locked="0" layoutInCell="1" allowOverlap="1">
                      <wp:simplePos x="0" y="0"/>
                      <wp:positionH relativeFrom="column">
                        <wp:posOffset>-70485</wp:posOffset>
                      </wp:positionH>
                      <wp:positionV relativeFrom="paragraph">
                        <wp:posOffset>0</wp:posOffset>
                      </wp:positionV>
                      <wp:extent cx="635" cy="0"/>
                      <wp:effectExtent l="0" t="0" r="0" b="0"/>
                      <wp:wrapNone/>
                      <wp:docPr id="15" name="Line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5.55pt;margin-top:0pt;height:0pt;width:0.05pt;z-index:251697152;mso-width-relative:page;mso-height-relative:page;" filled="f" stroked="t" coordsize="21600,21600" o:gfxdata="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1//0QAAAAUBAAAPAAAAAAAAAAEAIAAAACIAAABkcnMvZG93bnJldi54bWxQSwECFAAUAAAACACH&#10;TuJABN/k1bkBAACKAwAADgAAAAAAAAABACAAAAAgAQAAZHJzL2Uyb0RvYy54bWxQSwUGAAAAAAYA&#10;BgBZAQAASwUAAAAA&#10;">
                      <v:fill on="f" focussize="0,0"/>
                      <v:stroke color="#000000" joinstyle="round"/>
                      <v:imagedata o:title=""/>
                      <o:lock v:ext="edit" aspectratio="f"/>
                    </v:line>
                  </w:pict>
                </mc:Fallback>
              </mc:AlternateContent>
            </w:r>
            <w:r>
              <w:rPr>
                <w:rFonts w:hint="eastAsia" w:ascii="宋体" w:hAnsi="宋体" w:eastAsia="宋体" w:cs="宋体"/>
                <w:szCs w:val="21"/>
              </w:rPr>
              <w:t xml:space="preserve">      </w:t>
            </w:r>
            <w:r>
              <w:rPr>
                <w:rFonts w:hint="eastAsia" w:ascii="宋体" w:hAnsi="宋体" w:eastAsia="宋体" w:cs="宋体"/>
                <w:szCs w:val="21"/>
                <w:lang w:val="zh-CN"/>
              </w:rPr>
              <w:t>索引页码</w:t>
            </w:r>
          </w:p>
          <w:p>
            <w:pPr>
              <w:rPr>
                <w:rFonts w:ascii="宋体" w:hAnsi="宋体" w:eastAsia="宋体" w:cs="宋体"/>
                <w:szCs w:val="21"/>
              </w:rPr>
            </w:pPr>
          </w:p>
          <w:p>
            <w:pPr>
              <w:ind w:firstLine="210" w:firstLineChars="100"/>
              <w:rPr>
                <w:rFonts w:ascii="宋体" w:hAnsi="宋体" w:eastAsia="宋体" w:cs="宋体"/>
                <w:szCs w:val="21"/>
              </w:rPr>
            </w:pPr>
            <w:r>
              <w:rPr>
                <w:rFonts w:hint="eastAsia" w:ascii="宋体" w:hAnsi="宋体" w:eastAsia="宋体" w:cs="宋体"/>
                <w:szCs w:val="21"/>
              </w:rPr>
              <w:t>内容</w:t>
            </w:r>
          </w:p>
        </w:tc>
        <w:tc>
          <w:tcPr>
            <w:tcW w:w="1825" w:type="dxa"/>
            <w:vAlign w:val="center"/>
          </w:tcPr>
          <w:p>
            <w:pPr>
              <w:jc w:val="center"/>
              <w:rPr>
                <w:rFonts w:ascii="宋体" w:hAnsi="宋体" w:eastAsia="宋体" w:cs="宋体"/>
                <w:szCs w:val="21"/>
              </w:rPr>
            </w:pPr>
            <w:r>
              <w:rPr>
                <w:rFonts w:hint="eastAsia" w:ascii="宋体" w:hAnsi="宋体" w:eastAsia="宋体" w:cs="宋体"/>
                <w:szCs w:val="21"/>
                <w:lang w:val="zh-CN"/>
              </w:rPr>
              <w:t>投标文件页码</w:t>
            </w:r>
          </w:p>
        </w:tc>
        <w:tc>
          <w:tcPr>
            <w:tcW w:w="1825" w:type="dxa"/>
            <w:vAlign w:val="center"/>
          </w:tcPr>
          <w:p>
            <w:pPr>
              <w:jc w:val="center"/>
              <w:rPr>
                <w:rFonts w:ascii="宋体" w:hAnsi="宋体" w:eastAsia="宋体" w:cs="宋体"/>
                <w:szCs w:val="21"/>
              </w:rPr>
            </w:pPr>
            <w:r>
              <w:rPr>
                <w:rFonts w:hint="eastAsia" w:ascii="宋体" w:hAnsi="宋体" w:eastAsia="宋体" w:cs="宋体"/>
                <w:szCs w:val="21"/>
              </w:rPr>
              <w:t>索引内容</w:t>
            </w:r>
          </w:p>
        </w:tc>
        <w:tc>
          <w:tcPr>
            <w:tcW w:w="1825" w:type="dxa"/>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517" w:type="dxa"/>
            <w:vAlign w:val="center"/>
          </w:tcPr>
          <w:p>
            <w:pPr>
              <w:jc w:val="center"/>
              <w:rPr>
                <w:rFonts w:ascii="宋体" w:hAnsi="宋体" w:eastAsia="宋体" w:cs="宋体"/>
                <w:szCs w:val="21"/>
              </w:rPr>
            </w:pPr>
            <w:r>
              <w:rPr>
                <w:rFonts w:ascii="宋体" w:hAnsi="宋体" w:cs="宋体"/>
                <w:sz w:val="24"/>
                <w:szCs w:val="24"/>
              </w:rPr>
              <w:t>1</w:t>
            </w:r>
          </w:p>
        </w:tc>
        <w:tc>
          <w:tcPr>
            <w:tcW w:w="2728" w:type="dxa"/>
            <w:vAlign w:val="center"/>
          </w:tcPr>
          <w:p>
            <w:pPr>
              <w:jc w:val="center"/>
              <w:rPr>
                <w:rFonts w:ascii="宋体" w:cs="Times New Roman"/>
                <w:sz w:val="24"/>
                <w:szCs w:val="24"/>
              </w:rPr>
            </w:pPr>
            <w:r>
              <w:rPr>
                <w:rFonts w:hint="eastAsia" w:ascii="宋体" w:hAnsi="宋体" w:cs="宋体"/>
                <w:sz w:val="24"/>
                <w:szCs w:val="24"/>
              </w:rPr>
              <w:t>近2年经审计的</w:t>
            </w:r>
          </w:p>
          <w:p>
            <w:pPr>
              <w:jc w:val="center"/>
              <w:rPr>
                <w:rFonts w:ascii="宋体" w:hAnsi="宋体" w:eastAsia="宋体" w:cs="宋体"/>
                <w:szCs w:val="21"/>
              </w:rPr>
            </w:pPr>
            <w:r>
              <w:rPr>
                <w:rFonts w:hint="eastAsia" w:ascii="宋体" w:hAnsi="宋体" w:cs="宋体"/>
                <w:sz w:val="24"/>
                <w:szCs w:val="24"/>
              </w:rPr>
              <w:t>财务报告或资信证明</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jc w:val="center"/>
        </w:trPr>
        <w:tc>
          <w:tcPr>
            <w:tcW w:w="517" w:type="dxa"/>
            <w:vAlign w:val="center"/>
          </w:tcPr>
          <w:p>
            <w:pPr>
              <w:jc w:val="center"/>
              <w:rPr>
                <w:rFonts w:ascii="宋体" w:hAnsi="宋体" w:eastAsia="宋体" w:cs="宋体"/>
                <w:szCs w:val="21"/>
              </w:rPr>
            </w:pPr>
            <w:r>
              <w:rPr>
                <w:rFonts w:ascii="宋体" w:hAnsi="宋体" w:cs="宋体"/>
                <w:sz w:val="24"/>
                <w:szCs w:val="24"/>
              </w:rPr>
              <w:t>2</w:t>
            </w:r>
          </w:p>
        </w:tc>
        <w:tc>
          <w:tcPr>
            <w:tcW w:w="2728" w:type="dxa"/>
            <w:vAlign w:val="center"/>
          </w:tcPr>
          <w:p>
            <w:pPr>
              <w:jc w:val="center"/>
              <w:rPr>
                <w:rFonts w:ascii="宋体" w:cs="Times New Roman"/>
                <w:sz w:val="24"/>
                <w:szCs w:val="24"/>
              </w:rPr>
            </w:pPr>
            <w:r>
              <w:rPr>
                <w:rFonts w:hint="eastAsia" w:ascii="宋体" w:hAnsi="宋体" w:cs="宋体"/>
                <w:sz w:val="24"/>
                <w:szCs w:val="24"/>
              </w:rPr>
              <w:t>近</w:t>
            </w:r>
            <w:r>
              <w:rPr>
                <w:rFonts w:ascii="宋体" w:hAnsi="宋体" w:cs="宋体"/>
                <w:sz w:val="24"/>
                <w:szCs w:val="24"/>
              </w:rPr>
              <w:t>3</w:t>
            </w:r>
            <w:r>
              <w:rPr>
                <w:rFonts w:hint="eastAsia" w:ascii="宋体" w:hAnsi="宋体" w:cs="宋体"/>
                <w:sz w:val="24"/>
                <w:szCs w:val="24"/>
              </w:rPr>
              <w:t>个月相关部门</w:t>
            </w:r>
          </w:p>
          <w:p>
            <w:pPr>
              <w:jc w:val="center"/>
              <w:rPr>
                <w:rFonts w:ascii="宋体" w:cs="Times New Roman"/>
                <w:sz w:val="24"/>
                <w:szCs w:val="24"/>
              </w:rPr>
            </w:pPr>
            <w:r>
              <w:rPr>
                <w:rFonts w:hint="eastAsia" w:ascii="宋体" w:hAnsi="宋体" w:cs="宋体"/>
                <w:sz w:val="24"/>
                <w:szCs w:val="24"/>
              </w:rPr>
              <w:t>出具的纳税证明及</w:t>
            </w:r>
          </w:p>
          <w:p>
            <w:pPr>
              <w:jc w:val="center"/>
              <w:rPr>
                <w:rFonts w:ascii="宋体" w:hAnsi="宋体" w:eastAsia="宋体" w:cs="宋体"/>
                <w:szCs w:val="21"/>
              </w:rPr>
            </w:pPr>
            <w:r>
              <w:rPr>
                <w:rFonts w:hint="eastAsia" w:ascii="宋体" w:hAnsi="宋体" w:cs="宋体"/>
                <w:sz w:val="24"/>
                <w:szCs w:val="24"/>
              </w:rPr>
              <w:t>社保证明</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517" w:type="dxa"/>
            <w:vAlign w:val="center"/>
          </w:tcPr>
          <w:p>
            <w:pPr>
              <w:jc w:val="center"/>
              <w:rPr>
                <w:rFonts w:ascii="宋体" w:hAnsi="宋体" w:eastAsia="宋体" w:cs="宋体"/>
                <w:szCs w:val="21"/>
              </w:rPr>
            </w:pPr>
            <w:r>
              <w:rPr>
                <w:rFonts w:ascii="宋体" w:hAnsi="宋体" w:cs="宋体"/>
                <w:sz w:val="24"/>
                <w:szCs w:val="24"/>
              </w:rPr>
              <w:t>3</w:t>
            </w:r>
          </w:p>
        </w:tc>
        <w:tc>
          <w:tcPr>
            <w:tcW w:w="2728" w:type="dxa"/>
            <w:vAlign w:val="center"/>
          </w:tcPr>
          <w:p>
            <w:pPr>
              <w:jc w:val="center"/>
              <w:rPr>
                <w:rFonts w:ascii="宋体" w:cs="Times New Roman"/>
                <w:sz w:val="24"/>
                <w:szCs w:val="24"/>
              </w:rPr>
            </w:pPr>
            <w:r>
              <w:rPr>
                <w:rFonts w:hint="eastAsia" w:ascii="宋体" w:hAnsi="宋体" w:cs="宋体"/>
                <w:sz w:val="24"/>
                <w:szCs w:val="24"/>
              </w:rPr>
              <w:t>自行出具的无重大</w:t>
            </w:r>
          </w:p>
          <w:p>
            <w:pPr>
              <w:jc w:val="center"/>
              <w:rPr>
                <w:rFonts w:ascii="宋体" w:hAnsi="宋体" w:eastAsia="宋体" w:cs="宋体"/>
                <w:szCs w:val="21"/>
              </w:rPr>
            </w:pPr>
            <w:r>
              <w:rPr>
                <w:rFonts w:hint="eastAsia" w:ascii="宋体" w:hAnsi="宋体" w:cs="宋体"/>
                <w:sz w:val="24"/>
                <w:szCs w:val="24"/>
              </w:rPr>
              <w:t>违法记录承诺函</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 w:val="24"/>
                <w:szCs w:val="24"/>
              </w:rPr>
              <w:t>4</w:t>
            </w:r>
          </w:p>
        </w:tc>
        <w:tc>
          <w:tcPr>
            <w:tcW w:w="2728" w:type="dxa"/>
            <w:vAlign w:val="center"/>
          </w:tcPr>
          <w:p>
            <w:pPr>
              <w:ind w:firstLine="240" w:firstLineChars="100"/>
              <w:rPr>
                <w:rFonts w:ascii="宋体" w:cs="Times New Roman"/>
                <w:sz w:val="24"/>
                <w:szCs w:val="24"/>
              </w:rPr>
            </w:pPr>
            <w:r>
              <w:rPr>
                <w:rFonts w:hint="eastAsia" w:ascii="宋体" w:hAnsi="宋体" w:cs="宋体"/>
                <w:sz w:val="24"/>
                <w:szCs w:val="24"/>
              </w:rPr>
              <w:t>“信用中国”网站及</w:t>
            </w:r>
          </w:p>
          <w:p>
            <w:pPr>
              <w:jc w:val="center"/>
              <w:rPr>
                <w:rFonts w:ascii="宋体" w:cs="Times New Roman"/>
                <w:sz w:val="24"/>
                <w:szCs w:val="24"/>
              </w:rPr>
            </w:pPr>
            <w:r>
              <w:rPr>
                <w:rFonts w:hint="eastAsia" w:ascii="宋体" w:hAnsi="宋体" w:cs="宋体"/>
                <w:sz w:val="24"/>
                <w:szCs w:val="24"/>
              </w:rPr>
              <w:t>中国政府采购网的</w:t>
            </w:r>
          </w:p>
          <w:p>
            <w:pPr>
              <w:jc w:val="center"/>
              <w:rPr>
                <w:rFonts w:ascii="宋体" w:hAnsi="宋体" w:eastAsia="宋体" w:cs="宋体"/>
                <w:szCs w:val="21"/>
              </w:rPr>
            </w:pPr>
            <w:r>
              <w:rPr>
                <w:rFonts w:hint="eastAsia" w:ascii="宋体" w:hAnsi="宋体" w:cs="宋体"/>
                <w:sz w:val="24"/>
                <w:szCs w:val="24"/>
              </w:rPr>
              <w:t>无不良查询记录</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 w:val="24"/>
                <w:szCs w:val="24"/>
              </w:rPr>
              <w:t>5</w:t>
            </w:r>
          </w:p>
        </w:tc>
        <w:tc>
          <w:tcPr>
            <w:tcW w:w="2728" w:type="dxa"/>
            <w:vAlign w:val="center"/>
          </w:tcPr>
          <w:p>
            <w:pPr>
              <w:jc w:val="center"/>
              <w:rPr>
                <w:rFonts w:ascii="宋体" w:hAnsi="宋体" w:eastAsia="宋体" w:cs="宋体"/>
                <w:szCs w:val="21"/>
              </w:rPr>
            </w:pPr>
            <w:r>
              <w:rPr>
                <w:rFonts w:ascii="宋体" w:hAnsi="宋体" w:cs="宋体"/>
                <w:sz w:val="24"/>
                <w:szCs w:val="24"/>
              </w:rPr>
              <w:t xml:space="preserve"> </w:t>
            </w:r>
            <w:r>
              <w:rPr>
                <w:rFonts w:hint="eastAsia" w:ascii="宋体" w:hAnsi="宋体" w:cs="宋体"/>
                <w:sz w:val="24"/>
                <w:szCs w:val="24"/>
              </w:rPr>
              <w:t>非联合体投标</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 w:val="24"/>
                <w:szCs w:val="24"/>
              </w:rPr>
              <w:t>6</w:t>
            </w:r>
          </w:p>
        </w:tc>
        <w:tc>
          <w:tcPr>
            <w:tcW w:w="2728" w:type="dxa"/>
            <w:vAlign w:val="center"/>
          </w:tcPr>
          <w:p>
            <w:pPr>
              <w:jc w:val="center"/>
              <w:rPr>
                <w:rFonts w:ascii="宋体" w:hAnsi="宋体" w:eastAsia="宋体" w:cs="宋体"/>
                <w:szCs w:val="21"/>
              </w:rPr>
            </w:pPr>
            <w:r>
              <w:rPr>
                <w:rFonts w:hint="eastAsia" w:ascii="宋体" w:hAnsi="宋体" w:cs="宋体"/>
                <w:sz w:val="24"/>
                <w:szCs w:val="24"/>
              </w:rPr>
              <w:t>其他</w:t>
            </w: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c>
          <w:tcPr>
            <w:tcW w:w="18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3245" w:type="dxa"/>
            <w:gridSpan w:val="2"/>
            <w:vAlign w:val="center"/>
          </w:tcPr>
          <w:p>
            <w:pPr>
              <w:jc w:val="center"/>
              <w:rPr>
                <w:rFonts w:ascii="宋体" w:hAnsi="宋体" w:eastAsia="宋体" w:cs="宋体"/>
                <w:szCs w:val="21"/>
              </w:rPr>
            </w:pPr>
            <w:r>
              <w:rPr>
                <w:rFonts w:hint="eastAsia" w:ascii="宋体" w:hAnsi="宋体" w:eastAsia="宋体" w:cs="宋体"/>
                <w:szCs w:val="21"/>
              </w:rPr>
              <w:t>结论</w:t>
            </w:r>
          </w:p>
        </w:tc>
        <w:tc>
          <w:tcPr>
            <w:tcW w:w="1825"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1825"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1825"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bl>
    <w:p>
      <w:pPr>
        <w:rPr>
          <w:rFonts w:ascii="宋体" w:hAnsi="宋体" w:eastAsia="宋体" w:cs="宋体"/>
        </w:rPr>
      </w:pPr>
      <w:r>
        <w:rPr>
          <w:rFonts w:hint="eastAsia" w:ascii="宋体" w:hAnsi="宋体" w:eastAsia="宋体" w:cs="宋体"/>
        </w:rPr>
        <w:br w:type="page"/>
      </w:r>
    </w:p>
    <w:p>
      <w:pPr>
        <w:adjustRightInd w:val="0"/>
        <w:snapToGrid w:val="0"/>
        <w:spacing w:line="480" w:lineRule="auto"/>
        <w:jc w:val="center"/>
        <w:outlineLvl w:val="0"/>
        <w:rPr>
          <w:rFonts w:ascii="宋体" w:hAnsi="宋体" w:eastAsia="宋体" w:cs="宋体"/>
          <w:b/>
        </w:rPr>
      </w:pPr>
      <w:r>
        <w:rPr>
          <w:rFonts w:hint="eastAsia" w:ascii="宋体" w:hAnsi="宋体" w:eastAsia="宋体" w:cs="宋体"/>
          <w:b/>
        </w:rPr>
        <w:t>符合性检查索引表</w:t>
      </w:r>
    </w:p>
    <w:p>
      <w:pPr>
        <w:spacing w:line="360" w:lineRule="auto"/>
        <w:ind w:left="4463" w:leftChars="-75" w:right="-205" w:rightChars="-98" w:hanging="4620" w:hangingChars="2200"/>
        <w:rPr>
          <w:rFonts w:ascii="宋体" w:hAnsi="宋体" w:eastAsia="宋体" w:cs="宋体"/>
          <w:szCs w:val="21"/>
        </w:rPr>
      </w:pPr>
      <w:r>
        <w:rPr>
          <w:rFonts w:hint="eastAsia" w:ascii="宋体" w:hAnsi="宋体" w:eastAsia="宋体" w:cs="宋体"/>
        </w:rPr>
        <w:t xml:space="preserve"> 项目编号：                              项目名称：</w:t>
      </w:r>
      <w:r>
        <w:rPr>
          <w:rFonts w:hint="eastAsia" w:ascii="宋体" w:hAnsi="宋体" w:eastAsia="宋体" w:cs="宋体"/>
          <w:bCs/>
          <w:lang w:val="zh-CN"/>
        </w:rPr>
        <w:t xml:space="preserve">                     </w:t>
      </w:r>
    </w:p>
    <w:tbl>
      <w:tblPr>
        <w:tblStyle w:val="2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932"/>
        <w:gridCol w:w="1971"/>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932" w:type="dxa"/>
            <w:tcBorders>
              <w:tl2br w:val="single" w:color="auto" w:sz="4" w:space="0"/>
            </w:tcBorders>
          </w:tcPr>
          <w:p>
            <w:pPr>
              <w:jc w:val="center"/>
              <w:rPr>
                <w:rFonts w:ascii="宋体" w:hAnsi="宋体" w:eastAsia="宋体" w:cs="宋体"/>
                <w:szCs w:val="21"/>
              </w:rPr>
            </w:pPr>
            <w:r>
              <w:rPr>
                <w:rFonts w:ascii="宋体" w:hAnsi="宋体" w:eastAsia="宋体" w:cs="宋体"/>
                <w:szCs w:val="21"/>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-17780</wp:posOffset>
                      </wp:positionV>
                      <wp:extent cx="635" cy="0"/>
                      <wp:effectExtent l="0" t="0" r="0" b="0"/>
                      <wp:wrapNone/>
                      <wp:docPr id="12" name="直线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1.4pt;height:0pt;width:0.05pt;z-index:251675648;mso-width-relative:page;mso-height-relative:page;" filled="f" stroked="t" coordsize="21600,21600" o:gfxdata="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7XtE0AAAAAMBAAAPAAAAAAAAAAEAIAAAACIAAABkcnMvZG93bnJldi54bWxQ&#10;SwECFAAUAAAACACHTuJAzZ4Y78YBAACMAwAADgAAAAAAAAABACAAAAAfAQAAZHJzL2Uyb0RvYy54&#10;bWxQSwUGAAAAAAYABgBZAQAAVwUAAAAA&#10;">
                      <v:fill on="f" focussize="0,0"/>
                      <v:stroke color="#000000" joinstyle="round"/>
                      <v:imagedata o:title=""/>
                      <o:lock v:ext="edit" aspectratio="f"/>
                    </v:line>
                  </w:pict>
                </mc:Fallback>
              </mc:AlternateContent>
            </w:r>
            <w:r>
              <w:rPr>
                <w:rFonts w:ascii="宋体" w:hAnsi="宋体" w:eastAsia="宋体" w:cs="宋体"/>
                <w:szCs w:val="21"/>
              </w:rPr>
              <mc:AlternateContent>
                <mc:Choice Requires="wps">
                  <w:drawing>
                    <wp:anchor distT="0" distB="0" distL="114300" distR="114300" simplePos="0" relativeHeight="251674624" behindDoc="0" locked="0" layoutInCell="1" allowOverlap="1">
                      <wp:simplePos x="0" y="0"/>
                      <wp:positionH relativeFrom="column">
                        <wp:posOffset>-70485</wp:posOffset>
                      </wp:positionH>
                      <wp:positionV relativeFrom="paragraph">
                        <wp:posOffset>0</wp:posOffset>
                      </wp:positionV>
                      <wp:extent cx="635" cy="0"/>
                      <wp:effectExtent l="0" t="0" r="0" b="0"/>
                      <wp:wrapNone/>
                      <wp:docPr id="10" name="直线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5.55pt;margin-top:0pt;height:0pt;width:0.05pt;z-index:251674624;mso-width-relative:page;mso-height-relative:page;" filled="f" stroked="t" coordsize="21600,21600" o:gfxdata="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Y+1//0QAAAAUBAAAPAAAAAAAAAAEAIAAAACIAAABkcnMvZG93bnJldi54bWxQ&#10;SwECFAAUAAAACACHTuJAdSaGgcUBAACMAwAADgAAAAAAAAABACAAAAAgAQAAZHJzL2Uyb0RvYy54&#10;bWxQSwUGAAAAAAYABgBZAQAAVwUAAAAA&#10;">
                      <v:fill on="f" focussize="0,0"/>
                      <v:stroke color="#000000" joinstyle="round"/>
                      <v:imagedata o:title=""/>
                      <o:lock v:ext="edit" aspectratio="f"/>
                    </v:line>
                  </w:pict>
                </mc:Fallback>
              </mc:AlternateContent>
            </w:r>
            <w:r>
              <w:rPr>
                <w:rFonts w:hint="eastAsia" w:ascii="宋体" w:hAnsi="宋体" w:eastAsia="宋体" w:cs="宋体"/>
                <w:szCs w:val="21"/>
              </w:rPr>
              <w:t xml:space="preserve">      </w:t>
            </w:r>
            <w:r>
              <w:rPr>
                <w:rFonts w:hint="eastAsia" w:ascii="宋体" w:hAnsi="宋体" w:eastAsia="宋体" w:cs="宋体"/>
                <w:szCs w:val="21"/>
                <w:lang w:val="zh-CN"/>
              </w:rPr>
              <w:t>索引页码</w:t>
            </w:r>
          </w:p>
          <w:p>
            <w:pPr>
              <w:rPr>
                <w:rFonts w:ascii="宋体" w:hAnsi="宋体" w:eastAsia="宋体" w:cs="宋体"/>
                <w:szCs w:val="21"/>
              </w:rPr>
            </w:pPr>
          </w:p>
          <w:p>
            <w:pPr>
              <w:ind w:firstLine="210" w:firstLineChars="100"/>
              <w:rPr>
                <w:rFonts w:ascii="宋体" w:hAnsi="宋体" w:eastAsia="宋体" w:cs="宋体"/>
                <w:szCs w:val="21"/>
              </w:rPr>
            </w:pPr>
            <w:r>
              <w:rPr>
                <w:rFonts w:hint="eastAsia" w:ascii="宋体" w:hAnsi="宋体" w:eastAsia="宋体" w:cs="宋体"/>
                <w:szCs w:val="21"/>
              </w:rPr>
              <w:t>内容</w:t>
            </w:r>
          </w:p>
        </w:tc>
        <w:tc>
          <w:tcPr>
            <w:tcW w:w="1971" w:type="dxa"/>
            <w:vAlign w:val="center"/>
          </w:tcPr>
          <w:p>
            <w:pPr>
              <w:jc w:val="center"/>
              <w:rPr>
                <w:rFonts w:ascii="宋体" w:hAnsi="宋体" w:eastAsia="宋体" w:cs="宋体"/>
                <w:szCs w:val="21"/>
              </w:rPr>
            </w:pPr>
            <w:r>
              <w:rPr>
                <w:rFonts w:hint="eastAsia" w:ascii="宋体" w:hAnsi="宋体" w:eastAsia="宋体" w:cs="宋体"/>
                <w:szCs w:val="21"/>
                <w:lang w:val="zh-CN"/>
              </w:rPr>
              <w:t>投标文件页码</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索引内容</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投标文件的完整性</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2</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投标保证金</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3</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投标文件有效签署</w:t>
            </w:r>
          </w:p>
        </w:tc>
        <w:tc>
          <w:tcPr>
            <w:tcW w:w="1971"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投标有效期</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5</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法人委托授权书</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517" w:type="dxa"/>
            <w:vAlign w:val="center"/>
          </w:tcPr>
          <w:p>
            <w:pPr>
              <w:jc w:val="center"/>
              <w:rPr>
                <w:rFonts w:ascii="宋体" w:hAnsi="宋体" w:eastAsia="宋体" w:cs="宋体"/>
                <w:szCs w:val="21"/>
              </w:rPr>
            </w:pPr>
            <w:r>
              <w:rPr>
                <w:rFonts w:hint="eastAsia" w:ascii="宋体" w:hAnsi="宋体" w:eastAsia="宋体" w:cs="宋体"/>
                <w:szCs w:val="21"/>
              </w:rPr>
              <w:t>6</w:t>
            </w:r>
          </w:p>
        </w:tc>
        <w:tc>
          <w:tcPr>
            <w:tcW w:w="1932" w:type="dxa"/>
            <w:vAlign w:val="center"/>
          </w:tcPr>
          <w:p>
            <w:pPr>
              <w:jc w:val="center"/>
              <w:rPr>
                <w:rFonts w:ascii="宋体" w:hAnsi="宋体" w:eastAsia="宋体" w:cs="宋体"/>
                <w:szCs w:val="21"/>
              </w:rPr>
            </w:pPr>
            <w:r>
              <w:rPr>
                <w:rFonts w:hint="eastAsia" w:ascii="宋体" w:hAnsi="宋体" w:eastAsia="宋体" w:cs="宋体"/>
                <w:szCs w:val="21"/>
              </w:rPr>
              <w:t>评委会认为其他</w:t>
            </w:r>
          </w:p>
          <w:p>
            <w:pPr>
              <w:jc w:val="center"/>
              <w:rPr>
                <w:rFonts w:ascii="宋体" w:hAnsi="宋体" w:eastAsia="宋体" w:cs="宋体"/>
                <w:szCs w:val="21"/>
              </w:rPr>
            </w:pPr>
            <w:r>
              <w:rPr>
                <w:rFonts w:hint="eastAsia" w:ascii="宋体" w:hAnsi="宋体" w:eastAsia="宋体" w:cs="宋体"/>
                <w:szCs w:val="21"/>
              </w:rPr>
              <w:t>应审查的内容</w:t>
            </w:r>
          </w:p>
        </w:tc>
        <w:tc>
          <w:tcPr>
            <w:tcW w:w="1971"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c>
          <w:tcPr>
            <w:tcW w:w="2150"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2449" w:type="dxa"/>
            <w:gridSpan w:val="2"/>
            <w:vAlign w:val="center"/>
          </w:tcPr>
          <w:p>
            <w:pPr>
              <w:jc w:val="center"/>
              <w:rPr>
                <w:rFonts w:ascii="宋体" w:hAnsi="宋体" w:eastAsia="宋体" w:cs="宋体"/>
                <w:szCs w:val="21"/>
              </w:rPr>
            </w:pPr>
            <w:r>
              <w:rPr>
                <w:rFonts w:hint="eastAsia" w:ascii="宋体" w:hAnsi="宋体" w:eastAsia="宋体" w:cs="宋体"/>
                <w:szCs w:val="21"/>
              </w:rPr>
              <w:t>结论</w:t>
            </w:r>
          </w:p>
        </w:tc>
        <w:tc>
          <w:tcPr>
            <w:tcW w:w="1971"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c>
          <w:tcPr>
            <w:tcW w:w="2150" w:type="dxa"/>
            <w:vAlign w:val="center"/>
          </w:tcPr>
          <w:p>
            <w:pPr>
              <w:jc w:val="center"/>
              <w:rPr>
                <w:rFonts w:ascii="宋体" w:hAnsi="宋体" w:eastAsia="宋体" w:cs="宋体"/>
                <w:szCs w:val="21"/>
              </w:rPr>
            </w:pPr>
            <w:r>
              <w:rPr>
                <w:rFonts w:hint="eastAsia" w:ascii="宋体" w:hAnsi="宋体" w:eastAsia="宋体" w:cs="宋体"/>
                <w:szCs w:val="21"/>
              </w:rPr>
              <w:t xml:space="preserve"> </w:t>
            </w:r>
          </w:p>
        </w:tc>
      </w:tr>
    </w:tbl>
    <w:p>
      <w:pPr>
        <w:adjustRightInd w:val="0"/>
        <w:snapToGrid w:val="0"/>
        <w:spacing w:line="480" w:lineRule="auto"/>
        <w:jc w:val="center"/>
        <w:outlineLvl w:val="0"/>
        <w:rPr>
          <w:rFonts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三. 投标书（格式）</w:t>
      </w:r>
    </w:p>
    <w:p>
      <w:pPr>
        <w:ind w:left="-88" w:leftChars="-42"/>
        <w:rPr>
          <w:rFonts w:ascii="宋体" w:hAnsi="宋体" w:eastAsia="宋体" w:cs="宋体"/>
          <w:szCs w:val="21"/>
        </w:rPr>
      </w:pPr>
    </w:p>
    <w:p>
      <w:pPr>
        <w:adjustRightInd w:val="0"/>
        <w:snapToGrid w:val="0"/>
        <w:spacing w:line="530" w:lineRule="exact"/>
        <w:rPr>
          <w:rFonts w:ascii="宋体" w:hAnsi="宋体" w:eastAsia="宋体" w:cs="宋体"/>
          <w:szCs w:val="21"/>
        </w:rPr>
      </w:pPr>
      <w:r>
        <w:rPr>
          <w:rFonts w:hint="eastAsia" w:ascii="宋体" w:hAnsi="宋体" w:eastAsia="宋体" w:cs="宋体"/>
          <w:szCs w:val="21"/>
        </w:rPr>
        <w:t>湖北国华招标咨询有限公司：</w:t>
      </w:r>
    </w:p>
    <w:p>
      <w:pPr>
        <w:adjustRightInd w:val="0"/>
        <w:snapToGrid w:val="0"/>
        <w:spacing w:line="530" w:lineRule="exact"/>
        <w:ind w:firstLine="420" w:firstLineChars="200"/>
        <w:rPr>
          <w:rFonts w:ascii="宋体" w:hAnsi="宋体" w:eastAsia="宋体" w:cs="宋体"/>
          <w:szCs w:val="21"/>
          <w:u w:val="single"/>
        </w:rPr>
      </w:pPr>
    </w:p>
    <w:p>
      <w:pPr>
        <w:pStyle w:val="11"/>
        <w:adjustRightInd w:val="0"/>
        <w:snapToGrid w:val="0"/>
        <w:spacing w:line="530" w:lineRule="exact"/>
        <w:ind w:firstLine="420" w:firstLineChars="200"/>
        <w:rPr>
          <w:rFonts w:hAnsi="宋体" w:eastAsia="宋体" w:cs="宋体"/>
        </w:rPr>
      </w:pPr>
      <w:r>
        <w:rPr>
          <w:rFonts w:hint="eastAsia" w:hAnsi="宋体" w:eastAsia="宋体" w:cs="宋体"/>
          <w:u w:val="single"/>
        </w:rPr>
        <w:t>___________________</w:t>
      </w:r>
      <w:r>
        <w:rPr>
          <w:rFonts w:hint="eastAsia" w:hAnsi="宋体" w:eastAsia="宋体" w:cs="宋体"/>
        </w:rPr>
        <w:t>(供应商全称)授权</w:t>
      </w:r>
      <w:r>
        <w:rPr>
          <w:rFonts w:hint="eastAsia" w:hAnsi="宋体" w:eastAsia="宋体" w:cs="宋体"/>
          <w:u w:val="single"/>
        </w:rPr>
        <w:t>________</w:t>
      </w:r>
      <w:r>
        <w:rPr>
          <w:rFonts w:hint="eastAsia" w:hAnsi="宋体" w:eastAsia="宋体" w:cs="宋体"/>
        </w:rPr>
        <w:t>(供应商代表姓名)</w:t>
      </w:r>
      <w:r>
        <w:rPr>
          <w:rFonts w:hint="eastAsia" w:hAnsi="宋体" w:eastAsia="宋体" w:cs="宋体"/>
          <w:u w:val="single"/>
        </w:rPr>
        <w:t>__________</w:t>
      </w:r>
      <w:r>
        <w:rPr>
          <w:rFonts w:hint="eastAsia" w:hAnsi="宋体" w:eastAsia="宋体" w:cs="宋体"/>
        </w:rPr>
        <w:t>(职务)为我方代表，参加贵方组织的</w:t>
      </w:r>
      <w:r>
        <w:rPr>
          <w:rFonts w:hint="eastAsia" w:hAnsi="宋体" w:eastAsia="宋体" w:cs="宋体"/>
          <w:u w:val="single"/>
        </w:rPr>
        <w:t>________________</w:t>
      </w:r>
      <w:r>
        <w:rPr>
          <w:rFonts w:hint="eastAsia" w:hAnsi="宋体" w:eastAsia="宋体" w:cs="宋体"/>
        </w:rPr>
        <w:t>(项目名称)的招标活动(项目编号：             )，并对此项目进行投标。为此：</w:t>
      </w:r>
    </w:p>
    <w:p>
      <w:pPr>
        <w:pStyle w:val="11"/>
        <w:numPr>
          <w:ilvl w:val="0"/>
          <w:numId w:val="56"/>
        </w:numPr>
        <w:adjustRightInd w:val="0"/>
        <w:snapToGrid w:val="0"/>
        <w:spacing w:line="530" w:lineRule="exact"/>
        <w:rPr>
          <w:rFonts w:hAnsi="宋体" w:eastAsia="宋体" w:cs="宋体"/>
        </w:rPr>
      </w:pPr>
      <w:r>
        <w:rPr>
          <w:rFonts w:hint="eastAsia" w:hAnsi="宋体" w:eastAsia="宋体" w:cs="宋体"/>
        </w:rPr>
        <w:t>我方将严格按照《政府采购法》的相关规定，规范自己的投标行为。</w:t>
      </w:r>
    </w:p>
    <w:p>
      <w:pPr>
        <w:pStyle w:val="11"/>
        <w:numPr>
          <w:ilvl w:val="0"/>
          <w:numId w:val="56"/>
        </w:numPr>
        <w:adjustRightInd w:val="0"/>
        <w:snapToGrid w:val="0"/>
        <w:spacing w:line="530" w:lineRule="exact"/>
        <w:rPr>
          <w:rFonts w:hAnsi="宋体" w:eastAsia="宋体" w:cs="宋体"/>
        </w:rPr>
      </w:pPr>
      <w:r>
        <w:rPr>
          <w:rFonts w:hint="eastAsia" w:hAnsi="宋体" w:eastAsia="宋体" w:cs="宋体"/>
        </w:rPr>
        <w:t>我方同意在本项目招标文件中规定的投标截止日起</w:t>
      </w:r>
      <w:r>
        <w:rPr>
          <w:rFonts w:hint="eastAsia" w:hAnsi="宋体" w:eastAsia="宋体" w:cs="宋体"/>
          <w:u w:val="single"/>
        </w:rPr>
        <w:t>____</w:t>
      </w:r>
      <w:r>
        <w:rPr>
          <w:rFonts w:hint="eastAsia" w:hAnsi="宋体" w:eastAsia="宋体" w:cs="宋体"/>
        </w:rPr>
        <w:t>(投标有效期)天内遵守本投标文件中的承诺，在此期限内对我方均具有约束力。</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3. 我方将提供“供应商须知”中规定的全部投标文件，包括正本一份，副本___份及电子文件一份。</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4. 按招标文件要求提供的货物和服务的投标总报价为__________________(大写)，详见开标一览表。</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5. 我方保证在中标后，忠实地执行双方所签订的合同，并承担合同规定的责任和义务。</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6. 我方同意按招标文件的规定递交</w:t>
      </w:r>
      <w:r>
        <w:rPr>
          <w:rFonts w:hint="eastAsia" w:hAnsi="宋体" w:eastAsia="宋体" w:cs="宋体"/>
          <w:u w:val="single"/>
        </w:rPr>
        <w:t xml:space="preserve">        </w:t>
      </w:r>
      <w:r>
        <w:rPr>
          <w:rFonts w:hint="eastAsia" w:hAnsi="宋体" w:eastAsia="宋体" w:cs="宋体"/>
        </w:rPr>
        <w:t>(大写)的投标保证金。在投标有效期内如果我方撤回投标或中标后拒绝签订合同，投标保证金可不退还。</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7. 我方完全理解贵方不一定接受最低价的投标。</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8. 我方愿意向贵方提供任何与本项投标有关的数据、情况和技术资料。若贵方需要，我方愿意提供我方作出的一切承诺的证明材料。</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9. 我方已详细审核全部投标文件，包括投标文件修改书（如有的话）、参考资料及有关附件，确认无误。我方承诺接受招标文件中的全部条款且无任何异议。</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10. 我方承诺：采购人若需追加本项目招标文件所列货物及相关服务，在不改变合同其他实质性条款的前提下，按相同或更优惠的折扣率保证供货。</w:t>
      </w:r>
    </w:p>
    <w:p>
      <w:pPr>
        <w:pStyle w:val="11"/>
        <w:adjustRightInd w:val="0"/>
        <w:snapToGrid w:val="0"/>
        <w:spacing w:line="530" w:lineRule="exact"/>
        <w:ind w:left="630" w:leftChars="100" w:hanging="420" w:hangingChars="200"/>
        <w:rPr>
          <w:rFonts w:hAnsi="宋体" w:eastAsia="宋体" w:cs="宋体"/>
        </w:rPr>
      </w:pPr>
      <w:r>
        <w:rPr>
          <w:rFonts w:hint="eastAsia" w:hAnsi="宋体" w:eastAsia="宋体" w:cs="宋体"/>
        </w:rPr>
        <w:t>11.如中标，我方将遵守贵方有关招标代理服务费的规定。</w:t>
      </w:r>
    </w:p>
    <w:p>
      <w:pPr>
        <w:pStyle w:val="11"/>
        <w:adjustRightInd w:val="0"/>
        <w:snapToGrid w:val="0"/>
        <w:spacing w:line="530" w:lineRule="exact"/>
        <w:ind w:firstLine="630" w:firstLineChars="300"/>
        <w:rPr>
          <w:rFonts w:hAnsi="宋体" w:eastAsia="宋体" w:cs="宋体"/>
        </w:rPr>
      </w:pPr>
      <w:r>
        <w:rPr>
          <w:rFonts w:hint="eastAsia" w:hAnsi="宋体" w:eastAsia="宋体" w:cs="宋体"/>
        </w:rPr>
        <w:t xml:space="preserve"> 与本投标有关的一切往来信函请寄：</w:t>
      </w:r>
    </w:p>
    <w:p>
      <w:pPr>
        <w:snapToGrid w:val="0"/>
        <w:spacing w:line="530" w:lineRule="exact"/>
        <w:rPr>
          <w:rFonts w:ascii="宋体" w:hAnsi="宋体" w:eastAsia="宋体" w:cs="宋体"/>
          <w:szCs w:val="21"/>
        </w:rPr>
      </w:pPr>
    </w:p>
    <w:p>
      <w:pPr>
        <w:snapToGrid w:val="0"/>
        <w:spacing w:line="530" w:lineRule="exact"/>
        <w:rPr>
          <w:rFonts w:ascii="宋体" w:hAnsi="宋体" w:eastAsia="宋体" w:cs="宋体"/>
          <w:szCs w:val="21"/>
        </w:rPr>
      </w:pPr>
    </w:p>
    <w:p>
      <w:pPr>
        <w:snapToGrid w:val="0"/>
        <w:spacing w:line="530" w:lineRule="exact"/>
        <w:rPr>
          <w:rFonts w:ascii="宋体" w:hAnsi="宋体" w:eastAsia="宋体" w:cs="宋体"/>
          <w:szCs w:val="21"/>
        </w:rPr>
      </w:pPr>
    </w:p>
    <w:p>
      <w:pPr>
        <w:pStyle w:val="11"/>
        <w:adjustRightInd w:val="0"/>
        <w:snapToGrid w:val="0"/>
        <w:spacing w:line="530" w:lineRule="exact"/>
        <w:ind w:firstLine="1155" w:firstLineChars="550"/>
        <w:rPr>
          <w:rFonts w:hAnsi="宋体" w:eastAsia="宋体" w:cs="宋体"/>
        </w:rPr>
      </w:pPr>
      <w:r>
        <w:rPr>
          <w:rFonts w:hint="eastAsia" w:hAnsi="宋体" w:eastAsia="宋体" w:cs="宋体"/>
        </w:rPr>
        <w:t>供 应 商 名 称  (盖章)：__________________</w:t>
      </w:r>
    </w:p>
    <w:p>
      <w:pPr>
        <w:adjustRightInd w:val="0"/>
        <w:snapToGrid w:val="0"/>
        <w:spacing w:line="530" w:lineRule="exact"/>
        <w:ind w:firstLine="1155" w:firstLineChars="550"/>
        <w:rPr>
          <w:rFonts w:ascii="宋体" w:hAnsi="宋体" w:eastAsia="宋体" w:cs="宋体"/>
          <w:szCs w:val="21"/>
        </w:rPr>
      </w:pPr>
      <w:r>
        <w:rPr>
          <w:rFonts w:hint="eastAsia" w:ascii="宋体" w:hAnsi="宋体" w:eastAsia="宋体" w:cs="宋体"/>
          <w:szCs w:val="21"/>
        </w:rPr>
        <w:t>法定代表人</w:t>
      </w:r>
    </w:p>
    <w:p>
      <w:pPr>
        <w:adjustRightInd w:val="0"/>
        <w:snapToGrid w:val="0"/>
        <w:spacing w:line="530" w:lineRule="exact"/>
        <w:ind w:firstLine="1155" w:firstLineChars="550"/>
        <w:rPr>
          <w:rFonts w:ascii="宋体" w:hAnsi="宋体" w:eastAsia="宋体" w:cs="宋体"/>
          <w:szCs w:val="21"/>
        </w:rPr>
      </w:pPr>
      <w:r>
        <w:rPr>
          <w:rFonts w:hint="eastAsia" w:ascii="宋体" w:hAnsi="宋体" w:eastAsia="宋体" w:cs="宋体"/>
          <w:szCs w:val="21"/>
        </w:rPr>
        <w:t>或法定代表授权人(签字)：__________________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地      址：_____________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邮      编：_____________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电      话：_____________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传      真：_____________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开  户  行：_____________</w:t>
      </w:r>
    </w:p>
    <w:p>
      <w:pPr>
        <w:pStyle w:val="11"/>
        <w:adjustRightInd w:val="0"/>
        <w:snapToGrid w:val="0"/>
        <w:spacing w:line="530" w:lineRule="exact"/>
        <w:ind w:firstLine="1155" w:firstLineChars="550"/>
        <w:rPr>
          <w:rFonts w:hAnsi="宋体" w:eastAsia="宋体" w:cs="宋体"/>
        </w:rPr>
      </w:pPr>
      <w:r>
        <w:rPr>
          <w:rFonts w:hint="eastAsia" w:hAnsi="宋体" w:eastAsia="宋体" w:cs="宋体"/>
        </w:rPr>
        <w:t>账      号：_____________</w:t>
      </w:r>
    </w:p>
    <w:p>
      <w:pPr>
        <w:adjustRightInd w:val="0"/>
        <w:snapToGrid w:val="0"/>
        <w:spacing w:line="530" w:lineRule="exact"/>
        <w:ind w:firstLine="3360" w:firstLineChars="1600"/>
        <w:rPr>
          <w:rFonts w:ascii="宋体" w:hAnsi="宋体" w:eastAsia="宋体" w:cs="宋体"/>
          <w:szCs w:val="21"/>
        </w:rPr>
      </w:pPr>
    </w:p>
    <w:p>
      <w:pPr>
        <w:ind w:firstLine="1155" w:firstLineChars="550"/>
        <w:rPr>
          <w:rFonts w:ascii="宋体" w:hAnsi="宋体" w:eastAsia="宋体" w:cs="宋体"/>
          <w:szCs w:val="21"/>
        </w:rPr>
      </w:pPr>
      <w:r>
        <w:rPr>
          <w:rFonts w:hint="eastAsia" w:ascii="宋体" w:hAnsi="宋体" w:eastAsia="宋体" w:cs="宋体"/>
          <w:szCs w:val="21"/>
        </w:rPr>
        <w:t>日      期：：_____________</w:t>
      </w:r>
    </w:p>
    <w:p>
      <w:pPr>
        <w:adjustRightInd w:val="0"/>
        <w:snapToGrid w:val="0"/>
        <w:spacing w:line="540" w:lineRule="exact"/>
        <w:jc w:val="center"/>
        <w:rPr>
          <w:rFonts w:ascii="宋体" w:hAnsi="宋体" w:eastAsia="宋体" w:cs="宋体"/>
          <w:sz w:val="24"/>
        </w:rPr>
      </w:pPr>
      <w:r>
        <w:rPr>
          <w:rFonts w:hint="eastAsia" w:ascii="宋体" w:hAnsi="宋体" w:eastAsia="宋体" w:cs="宋体"/>
          <w:szCs w:val="21"/>
        </w:rPr>
        <w:br w:type="page"/>
      </w:r>
      <w:r>
        <w:rPr>
          <w:rFonts w:hint="eastAsia" w:ascii="宋体" w:hAnsi="宋体" w:eastAsia="宋体" w:cs="宋体"/>
          <w:b/>
          <w:sz w:val="24"/>
        </w:rPr>
        <w:t>四.开标一览表</w:t>
      </w:r>
    </w:p>
    <w:p>
      <w:pPr>
        <w:adjustRightInd w:val="0"/>
        <w:snapToGrid w:val="0"/>
        <w:spacing w:line="540" w:lineRule="exact"/>
        <w:ind w:left="-268" w:leftChars="-128" w:firstLine="315" w:firstLineChars="150"/>
        <w:rPr>
          <w:rFonts w:ascii="宋体" w:hAnsi="宋体" w:eastAsia="宋体" w:cs="宋体"/>
          <w:szCs w:val="21"/>
        </w:rPr>
      </w:pPr>
      <w:r>
        <w:rPr>
          <w:rFonts w:hint="eastAsia" w:ascii="宋体" w:hAnsi="宋体" w:eastAsia="宋体" w:cs="宋体"/>
          <w:szCs w:val="21"/>
        </w:rPr>
        <w:t>供应商名称/国别（地区）：                              项目编号：</w:t>
      </w:r>
    </w:p>
    <w:tbl>
      <w:tblPr>
        <w:tblStyle w:val="2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098"/>
        <w:gridCol w:w="1777"/>
        <w:gridCol w:w="578"/>
        <w:gridCol w:w="638"/>
        <w:gridCol w:w="830"/>
        <w:gridCol w:w="6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6" w:hRule="atLeast"/>
          <w:jc w:val="center"/>
        </w:trPr>
        <w:tc>
          <w:tcPr>
            <w:tcW w:w="2203" w:type="dxa"/>
            <w:vAlign w:val="center"/>
          </w:tcPr>
          <w:p>
            <w:pPr>
              <w:adjustRightInd w:val="0"/>
              <w:snapToGrid w:val="0"/>
              <w:jc w:val="center"/>
              <w:rPr>
                <w:rFonts w:ascii="宋体" w:hAnsi="宋体" w:cs="宋体"/>
                <w:szCs w:val="21"/>
              </w:rPr>
            </w:pPr>
            <w:r>
              <w:rPr>
                <w:rFonts w:hint="eastAsia" w:ascii="宋体" w:hAnsi="宋体" w:cs="宋体"/>
                <w:szCs w:val="21"/>
              </w:rPr>
              <w:t>制造商名称/国别</w:t>
            </w:r>
          </w:p>
        </w:tc>
        <w:tc>
          <w:tcPr>
            <w:tcW w:w="1098" w:type="dxa"/>
            <w:vAlign w:val="center"/>
          </w:tcPr>
          <w:p>
            <w:pPr>
              <w:adjustRightInd w:val="0"/>
              <w:snapToGrid w:val="0"/>
              <w:jc w:val="center"/>
              <w:rPr>
                <w:rFonts w:ascii="宋体" w:hAnsi="宋体" w:cs="宋体"/>
                <w:szCs w:val="21"/>
              </w:rPr>
            </w:pPr>
            <w:r>
              <w:rPr>
                <w:rFonts w:hint="eastAsia" w:ascii="宋体" w:hAnsi="宋体" w:cs="宋体"/>
                <w:szCs w:val="21"/>
              </w:rPr>
              <w:t>报价方式</w:t>
            </w:r>
          </w:p>
        </w:tc>
        <w:tc>
          <w:tcPr>
            <w:tcW w:w="1777"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 xml:space="preserve"> 投标总报价</w:t>
            </w:r>
          </w:p>
          <w:p>
            <w:pPr>
              <w:adjustRightInd w:val="0"/>
              <w:snapToGrid w:val="0"/>
              <w:jc w:val="center"/>
              <w:rPr>
                <w:rFonts w:ascii="宋体" w:hAnsi="宋体" w:cs="宋体"/>
                <w:szCs w:val="21"/>
              </w:rPr>
            </w:pPr>
            <w:r>
              <w:rPr>
                <w:rFonts w:hint="eastAsia" w:ascii="宋体" w:hAnsi="宋体" w:cs="宋体"/>
                <w:szCs w:val="21"/>
              </w:rPr>
              <w:t>（含投标声明）</w:t>
            </w:r>
          </w:p>
        </w:tc>
        <w:tc>
          <w:tcPr>
            <w:tcW w:w="578"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交货期</w:t>
            </w:r>
          </w:p>
        </w:tc>
        <w:tc>
          <w:tcPr>
            <w:tcW w:w="638"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质保期</w:t>
            </w:r>
          </w:p>
        </w:tc>
        <w:tc>
          <w:tcPr>
            <w:tcW w:w="830"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投标</w:t>
            </w:r>
          </w:p>
          <w:p>
            <w:pPr>
              <w:adjustRightInd w:val="0"/>
              <w:snapToGrid w:val="0"/>
              <w:jc w:val="center"/>
              <w:rPr>
                <w:rFonts w:ascii="宋体" w:hAnsi="宋体" w:cs="宋体"/>
                <w:szCs w:val="21"/>
              </w:rPr>
            </w:pPr>
            <w:r>
              <w:rPr>
                <w:rFonts w:hint="eastAsia" w:ascii="宋体" w:hAnsi="宋体" w:cs="宋体"/>
                <w:szCs w:val="21"/>
              </w:rPr>
              <w:t>保证金</w:t>
            </w:r>
          </w:p>
        </w:tc>
        <w:tc>
          <w:tcPr>
            <w:tcW w:w="617"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备注</w:t>
            </w:r>
          </w:p>
        </w:tc>
        <w:tc>
          <w:tcPr>
            <w:tcW w:w="1439"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报价汇率</w:t>
            </w:r>
          </w:p>
          <w:p>
            <w:pPr>
              <w:adjustRightInd w:val="0"/>
              <w:snapToGrid w:val="0"/>
              <w:jc w:val="center"/>
              <w:rPr>
                <w:rFonts w:ascii="宋体" w:hAnsi="宋体" w:cs="宋体"/>
                <w:szCs w:val="21"/>
              </w:rPr>
            </w:pPr>
            <w:r>
              <w:rPr>
                <w:rFonts w:hint="eastAsia" w:ascii="宋体" w:hAnsi="宋体" w:cs="宋体"/>
                <w:szCs w:val="21"/>
              </w:rPr>
              <w:t>（若为外汇报价需提供报价汇率）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7" w:hRule="atLeast"/>
          <w:jc w:val="center"/>
        </w:trPr>
        <w:tc>
          <w:tcPr>
            <w:tcW w:w="2203" w:type="dxa"/>
            <w:vAlign w:val="center"/>
          </w:tcPr>
          <w:p>
            <w:pPr>
              <w:adjustRightInd w:val="0"/>
              <w:snapToGrid w:val="0"/>
              <w:jc w:val="center"/>
              <w:rPr>
                <w:rFonts w:ascii="宋体" w:hAnsi="宋体" w:cs="宋体"/>
                <w:szCs w:val="21"/>
              </w:rPr>
            </w:pPr>
          </w:p>
        </w:tc>
        <w:tc>
          <w:tcPr>
            <w:tcW w:w="1098" w:type="dxa"/>
            <w:vAlign w:val="center"/>
          </w:tcPr>
          <w:p>
            <w:pPr>
              <w:adjustRightInd w:val="0"/>
              <w:snapToGrid w:val="0"/>
              <w:jc w:val="center"/>
              <w:rPr>
                <w:rFonts w:ascii="宋体" w:hAnsi="宋体" w:cs="宋体"/>
                <w:szCs w:val="21"/>
              </w:rPr>
            </w:pPr>
            <w:r>
              <w:rPr>
                <w:rFonts w:hint="eastAsia" w:ascii="宋体" w:hAnsi="宋体" w:cs="宋体"/>
                <w:szCs w:val="21"/>
              </w:rPr>
              <w:t>CIP</w:t>
            </w:r>
          </w:p>
          <w:p>
            <w:pPr>
              <w:adjustRightInd w:val="0"/>
              <w:snapToGrid w:val="0"/>
              <w:jc w:val="center"/>
              <w:rPr>
                <w:rFonts w:ascii="宋体" w:hAnsi="宋体" w:cs="宋体"/>
                <w:szCs w:val="21"/>
              </w:rPr>
            </w:pPr>
            <w:r>
              <w:rPr>
                <w:rFonts w:hint="eastAsia" w:ascii="宋体" w:hAnsi="宋体" w:cs="宋体"/>
                <w:szCs w:val="21"/>
              </w:rPr>
              <w:t>武汉</w:t>
            </w:r>
          </w:p>
        </w:tc>
        <w:tc>
          <w:tcPr>
            <w:tcW w:w="1777" w:type="dxa"/>
            <w:vAlign w:val="center"/>
          </w:tcPr>
          <w:p>
            <w:pPr>
              <w:adjustRightInd w:val="0"/>
              <w:snapToGrid w:val="0"/>
              <w:jc w:val="center"/>
              <w:rPr>
                <w:rFonts w:ascii="宋体" w:hAnsi="宋体" w:cs="宋体"/>
                <w:szCs w:val="21"/>
              </w:rPr>
            </w:pPr>
          </w:p>
        </w:tc>
        <w:tc>
          <w:tcPr>
            <w:tcW w:w="578" w:type="dxa"/>
            <w:vAlign w:val="center"/>
          </w:tcPr>
          <w:p>
            <w:pPr>
              <w:adjustRightInd w:val="0"/>
              <w:snapToGrid w:val="0"/>
              <w:jc w:val="center"/>
              <w:rPr>
                <w:rFonts w:ascii="宋体" w:hAnsi="宋体" w:cs="宋体"/>
                <w:szCs w:val="21"/>
              </w:rPr>
            </w:pPr>
          </w:p>
        </w:tc>
        <w:tc>
          <w:tcPr>
            <w:tcW w:w="638" w:type="dxa"/>
            <w:vAlign w:val="center"/>
          </w:tcPr>
          <w:p>
            <w:pPr>
              <w:adjustRightInd w:val="0"/>
              <w:snapToGrid w:val="0"/>
              <w:jc w:val="center"/>
              <w:rPr>
                <w:rFonts w:ascii="宋体" w:hAnsi="宋体" w:cs="宋体"/>
                <w:szCs w:val="21"/>
              </w:rPr>
            </w:pPr>
          </w:p>
        </w:tc>
        <w:tc>
          <w:tcPr>
            <w:tcW w:w="830" w:type="dxa"/>
            <w:vAlign w:val="center"/>
          </w:tcPr>
          <w:p>
            <w:pPr>
              <w:adjustRightInd w:val="0"/>
              <w:snapToGrid w:val="0"/>
              <w:jc w:val="center"/>
              <w:rPr>
                <w:rFonts w:ascii="宋体" w:hAnsi="宋体" w:cs="宋体"/>
                <w:szCs w:val="21"/>
              </w:rPr>
            </w:pPr>
          </w:p>
        </w:tc>
        <w:tc>
          <w:tcPr>
            <w:tcW w:w="617" w:type="dxa"/>
            <w:vAlign w:val="center"/>
          </w:tcPr>
          <w:p>
            <w:pPr>
              <w:adjustRightInd w:val="0"/>
              <w:snapToGrid w:val="0"/>
              <w:jc w:val="center"/>
              <w:rPr>
                <w:rFonts w:ascii="宋体" w:hAnsi="宋体" w:cs="宋体"/>
                <w:szCs w:val="21"/>
              </w:rPr>
            </w:pPr>
          </w:p>
        </w:tc>
        <w:tc>
          <w:tcPr>
            <w:tcW w:w="1439" w:type="dxa"/>
            <w:vAlign w:val="center"/>
          </w:tcPr>
          <w:p>
            <w:pPr>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3301" w:type="dxa"/>
            <w:gridSpan w:val="2"/>
            <w:vAlign w:val="center"/>
          </w:tcPr>
          <w:p>
            <w:pPr>
              <w:adjustRightInd w:val="0"/>
              <w:snapToGrid w:val="0"/>
              <w:jc w:val="center"/>
              <w:rPr>
                <w:rFonts w:ascii="宋体" w:hAnsi="宋体" w:cs="宋体"/>
                <w:szCs w:val="21"/>
              </w:rPr>
            </w:pPr>
            <w:r>
              <w:rPr>
                <w:rFonts w:hint="eastAsia" w:ascii="宋体" w:hAnsi="宋体" w:cs="宋体"/>
                <w:szCs w:val="21"/>
              </w:rPr>
              <w:t>投标总报价(大写，含投标声明)</w:t>
            </w:r>
          </w:p>
        </w:tc>
        <w:tc>
          <w:tcPr>
            <w:tcW w:w="5879" w:type="dxa"/>
            <w:gridSpan w:val="6"/>
            <w:vAlign w:val="center"/>
          </w:tcPr>
          <w:p>
            <w:pPr>
              <w:adjustRightInd w:val="0"/>
              <w:snapToGrid w:val="0"/>
              <w:jc w:val="center"/>
              <w:rPr>
                <w:rFonts w:ascii="宋体" w:hAnsi="宋体" w:cs="宋体"/>
                <w:szCs w:val="21"/>
              </w:rPr>
            </w:pPr>
          </w:p>
        </w:tc>
      </w:tr>
    </w:tbl>
    <w:p>
      <w:pPr>
        <w:adjustRightInd w:val="0"/>
        <w:snapToGrid w:val="0"/>
        <w:spacing w:line="540" w:lineRule="exact"/>
        <w:rPr>
          <w:rFonts w:ascii="宋体" w:hAnsi="宋体" w:eastAsia="宋体" w:cs="宋体"/>
          <w:bCs/>
          <w:szCs w:val="21"/>
        </w:rPr>
      </w:pPr>
    </w:p>
    <w:p>
      <w:pPr>
        <w:adjustRightInd w:val="0"/>
        <w:snapToGrid w:val="0"/>
        <w:spacing w:line="540" w:lineRule="exact"/>
        <w:rPr>
          <w:rFonts w:ascii="宋体" w:hAnsi="宋体" w:eastAsia="宋体" w:cs="宋体"/>
          <w:szCs w:val="21"/>
        </w:rPr>
      </w:pPr>
      <w:r>
        <w:rPr>
          <w:rFonts w:hint="eastAsia" w:ascii="宋体" w:hAnsi="宋体" w:eastAsia="宋体" w:cs="宋体"/>
          <w:szCs w:val="21"/>
        </w:rPr>
        <w:t>说明：（1）注明币种、单位，所有价格精确到有效数位。</w:t>
      </w:r>
    </w:p>
    <w:p>
      <w:pPr>
        <w:adjustRightInd w:val="0"/>
        <w:snapToGrid w:val="0"/>
        <w:spacing w:line="540" w:lineRule="exact"/>
        <w:ind w:left="919" w:leftChars="188" w:hanging="525" w:hangingChars="250"/>
        <w:rPr>
          <w:rFonts w:ascii="宋体" w:hAnsi="宋体" w:eastAsia="宋体" w:cs="宋体"/>
          <w:szCs w:val="21"/>
        </w:rPr>
      </w:pPr>
      <w:r>
        <w:rPr>
          <w:rFonts w:hint="eastAsia" w:ascii="宋体" w:hAnsi="宋体" w:eastAsia="宋体" w:cs="宋体"/>
          <w:szCs w:val="21"/>
        </w:rPr>
        <w:t>（2）此表除保留在投标文件中外，另附</w:t>
      </w:r>
      <w:r>
        <w:rPr>
          <w:rFonts w:hint="eastAsia" w:ascii="宋体" w:hAnsi="宋体" w:eastAsia="宋体" w:cs="宋体"/>
          <w:b/>
          <w:sz w:val="24"/>
        </w:rPr>
        <w:t>两份</w:t>
      </w:r>
      <w:r>
        <w:rPr>
          <w:rFonts w:hint="eastAsia" w:ascii="宋体" w:hAnsi="宋体" w:eastAsia="宋体" w:cs="宋体"/>
          <w:szCs w:val="21"/>
        </w:rPr>
        <w:t>与优惠声明（如果有）、法人代表授权书一起封装在一个小信封中，作为开标之用。</w:t>
      </w:r>
    </w:p>
    <w:p>
      <w:pPr>
        <w:adjustRightInd w:val="0"/>
        <w:snapToGrid w:val="0"/>
        <w:spacing w:line="540" w:lineRule="exact"/>
        <w:rPr>
          <w:rFonts w:ascii="宋体" w:hAnsi="宋体" w:eastAsia="宋体" w:cs="宋体"/>
          <w:szCs w:val="21"/>
        </w:rPr>
      </w:pPr>
      <w:r>
        <w:rPr>
          <w:rFonts w:hint="eastAsia" w:ascii="宋体" w:hAnsi="宋体" w:eastAsia="宋体" w:cs="宋体"/>
          <w:szCs w:val="21"/>
        </w:rPr>
        <w:t xml:space="preserve">     （3）如果以文字表示的数值与以数字表示的数值不一致，以文字为准修正数字。</w:t>
      </w:r>
    </w:p>
    <w:p>
      <w:pPr>
        <w:adjustRightInd w:val="0"/>
        <w:snapToGrid w:val="0"/>
        <w:spacing w:line="540" w:lineRule="exact"/>
        <w:rPr>
          <w:rFonts w:ascii="宋体" w:hAnsi="宋体" w:eastAsia="宋体" w:cs="宋体"/>
          <w:szCs w:val="21"/>
        </w:rPr>
      </w:pPr>
    </w:p>
    <w:p>
      <w:pPr>
        <w:adjustRightInd w:val="0"/>
        <w:snapToGrid w:val="0"/>
        <w:spacing w:line="540" w:lineRule="exact"/>
        <w:rPr>
          <w:rFonts w:ascii="宋体" w:hAnsi="宋体" w:eastAsia="宋体" w:cs="宋体"/>
          <w:szCs w:val="21"/>
        </w:rPr>
      </w:pPr>
      <w:r>
        <w:rPr>
          <w:rFonts w:hint="eastAsia" w:ascii="宋体" w:hAnsi="宋体" w:cs="宋体"/>
          <w:b/>
          <w:bCs/>
          <w:szCs w:val="21"/>
        </w:rPr>
        <w:t>注：若供应商所投产品为设备，因采购用途为科研教学设备，按国家政策规定可免关税。供应商报价应按免关税价格（需包括过海关的其他费用）报价。采购人将协助供应商办理相关免税手续。</w:t>
      </w:r>
    </w:p>
    <w:p>
      <w:pPr>
        <w:adjustRightInd w:val="0"/>
        <w:snapToGrid w:val="0"/>
        <w:spacing w:line="540" w:lineRule="exact"/>
        <w:rPr>
          <w:rFonts w:ascii="宋体" w:hAnsi="宋体" w:eastAsia="宋体" w:cs="宋体"/>
          <w:szCs w:val="21"/>
        </w:rPr>
      </w:pPr>
    </w:p>
    <w:p>
      <w:pPr>
        <w:adjustRightInd w:val="0"/>
        <w:snapToGrid w:val="0"/>
        <w:spacing w:line="540" w:lineRule="exact"/>
        <w:rPr>
          <w:rFonts w:ascii="宋体" w:hAnsi="宋体" w:eastAsia="宋体" w:cs="宋体"/>
          <w:szCs w:val="21"/>
        </w:rPr>
      </w:pPr>
    </w:p>
    <w:p>
      <w:pPr>
        <w:adjustRightInd w:val="0"/>
        <w:snapToGrid w:val="0"/>
        <w:spacing w:line="540" w:lineRule="exact"/>
        <w:rPr>
          <w:rFonts w:ascii="宋体" w:hAnsi="宋体" w:eastAsia="宋体" w:cs="宋体"/>
          <w:szCs w:val="21"/>
        </w:rPr>
      </w:pPr>
      <w:r>
        <w:rPr>
          <w:rFonts w:hint="eastAsia" w:ascii="宋体" w:hAnsi="宋体" w:eastAsia="宋体" w:cs="宋体"/>
          <w:szCs w:val="21"/>
        </w:rPr>
        <w:t>供应商授权代表签字：________________________</w:t>
      </w:r>
    </w:p>
    <w:p>
      <w:pPr>
        <w:adjustRightInd w:val="0"/>
        <w:snapToGrid w:val="0"/>
        <w:spacing w:line="540" w:lineRule="exact"/>
        <w:rPr>
          <w:rFonts w:ascii="宋体" w:hAnsi="宋体" w:eastAsia="宋体" w:cs="宋体"/>
          <w:szCs w:val="21"/>
        </w:rPr>
      </w:pPr>
    </w:p>
    <w:p>
      <w:pPr>
        <w:adjustRightInd w:val="0"/>
        <w:snapToGrid w:val="0"/>
        <w:spacing w:line="540" w:lineRule="exact"/>
        <w:rPr>
          <w:rFonts w:ascii="宋体" w:hAnsi="宋体" w:eastAsia="宋体" w:cs="宋体"/>
          <w:szCs w:val="21"/>
        </w:rPr>
      </w:pPr>
      <w:r>
        <w:rPr>
          <w:rFonts w:hint="eastAsia" w:ascii="宋体" w:hAnsi="宋体" w:eastAsia="宋体" w:cs="宋体"/>
          <w:szCs w:val="21"/>
        </w:rPr>
        <w:t>供  应  商 （公章）：________________________</w:t>
      </w:r>
    </w:p>
    <w:p>
      <w:pPr>
        <w:adjustRightInd w:val="0"/>
        <w:snapToGrid w:val="0"/>
        <w:spacing w:line="540" w:lineRule="exact"/>
        <w:rPr>
          <w:rFonts w:ascii="宋体" w:hAnsi="宋体" w:eastAsia="宋体" w:cs="宋体"/>
          <w:szCs w:val="21"/>
        </w:rPr>
      </w:pPr>
    </w:p>
    <w:p>
      <w:pPr>
        <w:adjustRightInd w:val="0"/>
        <w:snapToGrid w:val="0"/>
        <w:spacing w:line="540" w:lineRule="exact"/>
        <w:rPr>
          <w:rFonts w:ascii="宋体" w:hAnsi="宋体" w:eastAsia="宋体" w:cs="宋体"/>
          <w:szCs w:val="21"/>
          <w:u w:val="single"/>
        </w:rPr>
      </w:pPr>
      <w:r>
        <w:rPr>
          <w:rFonts w:hint="eastAsia" w:ascii="宋体" w:hAnsi="宋体" w:eastAsia="宋体" w:cs="宋体"/>
          <w:szCs w:val="21"/>
        </w:rPr>
        <w:t>时              间：</w:t>
      </w:r>
    </w:p>
    <w:p>
      <w:pPr>
        <w:adjustRightInd w:val="0"/>
        <w:snapToGrid w:val="0"/>
        <w:spacing w:line="540" w:lineRule="exact"/>
        <w:jc w:val="center"/>
        <w:rPr>
          <w:rFonts w:ascii="宋体" w:hAnsi="宋体" w:eastAsia="宋体" w:cs="宋体"/>
          <w:b/>
          <w:szCs w:val="21"/>
        </w:rPr>
      </w:pPr>
      <w:r>
        <w:rPr>
          <w:rFonts w:hint="eastAsia" w:ascii="宋体" w:hAnsi="宋体" w:eastAsia="宋体" w:cs="宋体"/>
          <w:b/>
        </w:rPr>
        <w:br w:type="page"/>
      </w:r>
      <w:r>
        <w:rPr>
          <w:rFonts w:hint="eastAsia" w:ascii="宋体" w:hAnsi="宋体" w:eastAsia="宋体" w:cs="宋体"/>
          <w:b/>
          <w:sz w:val="24"/>
        </w:rPr>
        <w:t>五</w:t>
      </w:r>
      <w:bookmarkStart w:id="83" w:name="_Toc421702734"/>
      <w:r>
        <w:rPr>
          <w:rFonts w:hint="eastAsia" w:ascii="宋体" w:hAnsi="宋体" w:eastAsia="宋体" w:cs="宋体"/>
          <w:b/>
          <w:sz w:val="24"/>
        </w:rPr>
        <w:t>.交纳投标保证金的银行凭证</w:t>
      </w:r>
      <w:bookmarkEnd w:id="83"/>
    </w:p>
    <w:p>
      <w:pPr>
        <w:spacing w:line="360" w:lineRule="auto"/>
        <w:jc w:val="center"/>
        <w:rPr>
          <w:rFonts w:ascii="宋体" w:hAnsi="宋体" w:eastAsia="宋体" w:cs="宋体"/>
          <w:sz w:val="24"/>
        </w:rPr>
      </w:pPr>
    </w:p>
    <w:p>
      <w:pPr>
        <w:spacing w:line="360" w:lineRule="auto"/>
        <w:rPr>
          <w:rFonts w:ascii="宋体" w:hAnsi="宋体" w:eastAsia="宋体" w:cs="宋体"/>
          <w:szCs w:val="21"/>
          <w:u w:val="single"/>
        </w:rPr>
      </w:pPr>
      <w:r>
        <w:rPr>
          <w:rFonts w:hint="eastAsia" w:ascii="宋体" w:hAnsi="宋体" w:eastAsia="宋体" w:cs="宋体"/>
          <w:szCs w:val="21"/>
          <w:u w:val="single"/>
        </w:rPr>
        <w:t>湖北国华招标咨询有限公司：</w:t>
      </w:r>
    </w:p>
    <w:p>
      <w:pPr>
        <w:spacing w:line="360" w:lineRule="auto"/>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(供应商全称)</w:t>
      </w:r>
      <w:r>
        <w:rPr>
          <w:rFonts w:hint="eastAsia" w:ascii="宋体" w:hAnsi="宋体" w:eastAsia="宋体" w:cs="宋体"/>
          <w:szCs w:val="21"/>
        </w:rPr>
        <w:t xml:space="preserve"> 参加贵方组织的，项目编号为</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的采购活动。按招标文件的规定，已递交人民币</w:t>
      </w:r>
      <w:r>
        <w:rPr>
          <w:rFonts w:hint="eastAsia" w:ascii="宋体" w:hAnsi="宋体" w:eastAsia="宋体" w:cs="宋体"/>
          <w:szCs w:val="21"/>
          <w:u w:val="single"/>
        </w:rPr>
        <w:t xml:space="preserve">（大写）  　　 </w:t>
      </w:r>
      <w:r>
        <w:rPr>
          <w:rFonts w:hint="eastAsia" w:ascii="宋体" w:hAnsi="宋体" w:eastAsia="宋体" w:cs="宋体"/>
          <w:szCs w:val="21"/>
        </w:rPr>
        <w:t xml:space="preserve"> 元的投标保证金。</w:t>
      </w:r>
    </w:p>
    <w:p>
      <w:pPr>
        <w:spacing w:line="360" w:lineRule="auto"/>
        <w:rPr>
          <w:rFonts w:ascii="宋体" w:hAnsi="宋体" w:eastAsia="宋体" w:cs="宋体"/>
          <w:szCs w:val="21"/>
        </w:rPr>
      </w:pPr>
      <w:r>
        <w:rPr>
          <w:rFonts w:hint="eastAsia" w:ascii="宋体" w:hAnsi="宋体" w:eastAsia="宋体" w:cs="宋体"/>
          <w:szCs w:val="21"/>
        </w:rPr>
        <w:t>供 应 商 名 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供应商开户银行：</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供应商银行账号：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r>
        <w:rPr>
          <w:rFonts w:hint="eastAsia" w:ascii="宋体" w:hAnsi="宋体" w:eastAsia="宋体" w:cs="宋体"/>
          <w:szCs w:val="21"/>
        </w:rPr>
        <w:t>供应商银行行号：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rPr>
          <w:rFonts w:ascii="宋体" w:hAnsi="宋体" w:eastAsia="宋体" w:cs="宋体"/>
          <w:szCs w:val="21"/>
        </w:rPr>
      </w:pPr>
    </w:p>
    <w:p>
      <w:pPr>
        <w:spacing w:line="360" w:lineRule="auto"/>
        <w:ind w:firstLine="4305" w:firstLineChars="2050"/>
        <w:rPr>
          <w:rFonts w:ascii="宋体" w:hAnsi="宋体" w:eastAsia="宋体" w:cs="宋体"/>
          <w:szCs w:val="21"/>
        </w:rPr>
      </w:pPr>
      <w:r>
        <w:rPr>
          <w:rFonts w:hint="eastAsia" w:ascii="宋体" w:hAnsi="宋体" w:eastAsia="宋体" w:cs="宋体"/>
          <w:szCs w:val="21"/>
        </w:rPr>
        <w:t xml:space="preserve">供 应 商(签章)： </w:t>
      </w:r>
      <w:r>
        <w:rPr>
          <w:rFonts w:hint="eastAsia" w:ascii="宋体" w:hAnsi="宋体" w:eastAsia="宋体" w:cs="宋体"/>
          <w:szCs w:val="21"/>
          <w:u w:val="single"/>
        </w:rPr>
        <w:t xml:space="preserve">                   </w:t>
      </w:r>
    </w:p>
    <w:p>
      <w:pPr>
        <w:spacing w:line="360" w:lineRule="auto"/>
        <w:ind w:left="787" w:leftChars="375" w:firstLine="3255" w:firstLineChars="1550"/>
        <w:rPr>
          <w:rFonts w:ascii="宋体" w:hAnsi="宋体" w:eastAsia="宋体" w:cs="宋体"/>
          <w:szCs w:val="21"/>
        </w:rPr>
      </w:pPr>
      <w:r>
        <w:rPr>
          <w:rFonts w:hint="eastAsia" w:ascii="宋体" w:hAnsi="宋体" w:eastAsia="宋体" w:cs="宋体"/>
          <w:szCs w:val="21"/>
        </w:rPr>
        <w:t xml:space="preserve">授权代表(签字)：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left="787" w:leftChars="375"/>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360" w:lineRule="auto"/>
        <w:rPr>
          <w:rFonts w:ascii="宋体" w:hAnsi="宋体" w:eastAsia="宋体" w:cs="宋体"/>
          <w:sz w:val="24"/>
        </w:rPr>
      </w:pPr>
    </w:p>
    <w:tbl>
      <w:tblPr>
        <w:tblStyle w:val="2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7" w:hRule="atLeast"/>
        </w:trPr>
        <w:tc>
          <w:tcPr>
            <w:tcW w:w="88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Cs w:val="21"/>
              </w:rPr>
            </w:pPr>
            <w:r>
              <w:rPr>
                <w:rFonts w:hint="eastAsia" w:ascii="宋体" w:hAnsi="宋体" w:eastAsia="宋体" w:cs="宋体"/>
                <w:szCs w:val="21"/>
              </w:rPr>
              <w:t>粘贴转帐或电汇银行凭证（复印件）</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tc>
      </w:tr>
    </w:tbl>
    <w:p>
      <w:pPr>
        <w:pStyle w:val="11"/>
        <w:widowControl/>
        <w:adjustRightInd w:val="0"/>
        <w:snapToGrid w:val="0"/>
        <w:spacing w:line="500" w:lineRule="exact"/>
        <w:ind w:firstLine="840" w:firstLineChars="400"/>
        <w:jc w:val="left"/>
        <w:rPr>
          <w:rFonts w:hAnsi="宋体" w:eastAsia="宋体" w:cs="宋体"/>
        </w:rPr>
      </w:pPr>
      <w:r>
        <w:rPr>
          <w:rFonts w:hint="eastAsia" w:hAnsi="宋体" w:eastAsia="宋体" w:cs="宋体"/>
        </w:rPr>
        <w:t>注： 请供应商认真填写银行信息，并要求与粘贴转帐或电汇银行凭证的相关信息一致，</w:t>
      </w:r>
      <w:r>
        <w:rPr>
          <w:rFonts w:hint="eastAsia" w:hAnsi="宋体" w:eastAsia="宋体" w:cs="宋体"/>
          <w:u w:val="single"/>
        </w:rPr>
        <w:t>（采购代理机构）</w:t>
      </w:r>
      <w:r>
        <w:rPr>
          <w:rFonts w:hint="eastAsia" w:hAnsi="宋体" w:eastAsia="宋体" w:cs="宋体"/>
        </w:rPr>
        <w:t>将依据此凭证信息退还投标保证金。</w:t>
      </w:r>
    </w:p>
    <w:p>
      <w:pPr>
        <w:pStyle w:val="11"/>
        <w:widowControl/>
        <w:adjustRightInd w:val="0"/>
        <w:snapToGrid w:val="0"/>
        <w:spacing w:line="500" w:lineRule="exact"/>
        <w:ind w:firstLine="840" w:firstLineChars="400"/>
        <w:jc w:val="left"/>
        <w:rPr>
          <w:rFonts w:hAnsi="宋体" w:eastAsia="宋体" w:cs="宋体"/>
        </w:rPr>
      </w:pPr>
    </w:p>
    <w:p>
      <w:pPr>
        <w:pStyle w:val="11"/>
        <w:widowControl/>
        <w:adjustRightInd w:val="0"/>
        <w:snapToGrid w:val="0"/>
        <w:spacing w:line="500" w:lineRule="exact"/>
        <w:ind w:firstLine="840" w:firstLineChars="400"/>
        <w:jc w:val="left"/>
        <w:rPr>
          <w:rFonts w:hAnsi="宋体" w:eastAsia="宋体" w:cs="宋体"/>
        </w:rPr>
      </w:pPr>
    </w:p>
    <w:p>
      <w:pPr>
        <w:pStyle w:val="11"/>
        <w:widowControl/>
        <w:adjustRightInd w:val="0"/>
        <w:snapToGrid w:val="0"/>
        <w:spacing w:line="500" w:lineRule="exact"/>
        <w:ind w:firstLine="840" w:firstLineChars="400"/>
        <w:jc w:val="left"/>
        <w:rPr>
          <w:rFonts w:hAnsi="宋体" w:eastAsia="宋体" w:cs="宋体"/>
        </w:rPr>
      </w:pPr>
    </w:p>
    <w:p>
      <w:pPr>
        <w:pStyle w:val="3"/>
        <w:spacing w:line="560" w:lineRule="exact"/>
        <w:jc w:val="center"/>
        <w:rPr>
          <w:rFonts w:ascii="宋体" w:hAnsi="宋体" w:eastAsia="宋体" w:cs="宋体"/>
        </w:rPr>
      </w:pPr>
      <w:r>
        <w:rPr>
          <w:rFonts w:hint="eastAsia" w:ascii="宋体" w:hAnsi="宋体" w:eastAsia="宋体" w:cs="宋体"/>
        </w:rPr>
        <w:t>六.投标分项报价明细表</w:t>
      </w:r>
    </w:p>
    <w:p>
      <w:pPr>
        <w:adjustRightInd w:val="0"/>
        <w:snapToGrid w:val="0"/>
        <w:ind w:left="-88" w:leftChars="-42"/>
        <w:jc w:val="center"/>
        <w:rPr>
          <w:rFonts w:ascii="宋体" w:hAnsi="宋体" w:eastAsia="宋体" w:cs="宋体"/>
          <w:sz w:val="24"/>
        </w:rPr>
      </w:pPr>
    </w:p>
    <w:tbl>
      <w:tblPr>
        <w:tblStyle w:val="26"/>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217"/>
        <w:gridCol w:w="1217"/>
        <w:gridCol w:w="1218"/>
        <w:gridCol w:w="104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序号</w:t>
            </w:r>
          </w:p>
        </w:tc>
        <w:tc>
          <w:tcPr>
            <w:tcW w:w="1606"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产品名称</w:t>
            </w:r>
          </w:p>
        </w:tc>
        <w:tc>
          <w:tcPr>
            <w:tcW w:w="1217"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型号规格</w:t>
            </w:r>
          </w:p>
        </w:tc>
        <w:tc>
          <w:tcPr>
            <w:tcW w:w="1217"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数量</w:t>
            </w:r>
          </w:p>
        </w:tc>
        <w:tc>
          <w:tcPr>
            <w:tcW w:w="1218"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单价</w:t>
            </w:r>
          </w:p>
        </w:tc>
        <w:tc>
          <w:tcPr>
            <w:tcW w:w="1042"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合价</w:t>
            </w:r>
          </w:p>
        </w:tc>
        <w:tc>
          <w:tcPr>
            <w:tcW w:w="2340" w:type="dxa"/>
          </w:tcPr>
          <w:p>
            <w:pPr>
              <w:adjustRightInd w:val="0"/>
              <w:snapToGrid w:val="0"/>
              <w:spacing w:line="440" w:lineRule="exact"/>
              <w:rPr>
                <w:rFonts w:ascii="宋体" w:hAnsi="宋体" w:eastAsia="宋体" w:cs="宋体"/>
                <w:szCs w:val="21"/>
              </w:rPr>
            </w:pPr>
            <w:r>
              <w:rPr>
                <w:rFonts w:hint="eastAsia" w:ascii="宋体" w:hAnsi="宋体" w:eastAsia="宋体" w:cs="宋体"/>
                <w:szCs w:val="21"/>
              </w:rPr>
              <w:t>生产企业名称/国别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adjustRightInd w:val="0"/>
              <w:snapToGrid w:val="0"/>
              <w:spacing w:line="440" w:lineRule="exact"/>
              <w:rPr>
                <w:rFonts w:ascii="宋体" w:hAnsi="宋体" w:eastAsia="宋体" w:cs="宋体"/>
                <w:szCs w:val="21"/>
              </w:rPr>
            </w:pPr>
          </w:p>
        </w:tc>
        <w:tc>
          <w:tcPr>
            <w:tcW w:w="1606"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7" w:type="dxa"/>
          </w:tcPr>
          <w:p>
            <w:pPr>
              <w:adjustRightInd w:val="0"/>
              <w:snapToGrid w:val="0"/>
              <w:spacing w:line="440" w:lineRule="exact"/>
              <w:rPr>
                <w:rFonts w:ascii="宋体" w:hAnsi="宋体" w:eastAsia="宋体" w:cs="宋体"/>
                <w:szCs w:val="21"/>
              </w:rPr>
            </w:pPr>
          </w:p>
        </w:tc>
        <w:tc>
          <w:tcPr>
            <w:tcW w:w="1218" w:type="dxa"/>
          </w:tcPr>
          <w:p>
            <w:pPr>
              <w:adjustRightInd w:val="0"/>
              <w:snapToGrid w:val="0"/>
              <w:spacing w:line="440" w:lineRule="exact"/>
              <w:rPr>
                <w:rFonts w:ascii="宋体" w:hAnsi="宋体" w:eastAsia="宋体" w:cs="宋体"/>
                <w:szCs w:val="21"/>
              </w:rPr>
            </w:pPr>
          </w:p>
        </w:tc>
        <w:tc>
          <w:tcPr>
            <w:tcW w:w="1042" w:type="dxa"/>
          </w:tcPr>
          <w:p>
            <w:pPr>
              <w:adjustRightInd w:val="0"/>
              <w:snapToGrid w:val="0"/>
              <w:spacing w:line="440" w:lineRule="exact"/>
              <w:rPr>
                <w:rFonts w:ascii="宋体" w:hAnsi="宋体" w:eastAsia="宋体" w:cs="宋体"/>
                <w:szCs w:val="21"/>
              </w:rPr>
            </w:pPr>
          </w:p>
        </w:tc>
        <w:tc>
          <w:tcPr>
            <w:tcW w:w="2340" w:type="dxa"/>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vAlign w:val="center"/>
          </w:tcPr>
          <w:p>
            <w:pPr>
              <w:adjustRightInd w:val="0"/>
              <w:snapToGrid w:val="0"/>
              <w:spacing w:line="440" w:lineRule="exact"/>
              <w:rPr>
                <w:rFonts w:ascii="宋体" w:hAnsi="宋体" w:eastAsia="宋体" w:cs="宋体"/>
                <w:szCs w:val="21"/>
              </w:rPr>
            </w:pPr>
            <w:r>
              <w:rPr>
                <w:rFonts w:hint="eastAsia" w:ascii="宋体" w:hAnsi="宋体" w:eastAsia="宋体" w:cs="宋体"/>
                <w:szCs w:val="21"/>
              </w:rPr>
              <w:t>投标产品总价</w:t>
            </w:r>
          </w:p>
        </w:tc>
        <w:tc>
          <w:tcPr>
            <w:tcW w:w="7034" w:type="dxa"/>
            <w:gridSpan w:val="5"/>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vAlign w:val="center"/>
          </w:tcPr>
          <w:p>
            <w:pPr>
              <w:adjustRightInd w:val="0"/>
              <w:snapToGrid w:val="0"/>
              <w:spacing w:line="440" w:lineRule="exact"/>
              <w:rPr>
                <w:rFonts w:ascii="宋体" w:hAnsi="宋体" w:eastAsia="宋体" w:cs="宋体"/>
                <w:szCs w:val="21"/>
              </w:rPr>
            </w:pPr>
            <w:r>
              <w:rPr>
                <w:rFonts w:hint="eastAsia" w:ascii="宋体" w:hAnsi="宋体" w:eastAsia="宋体" w:cs="宋体"/>
                <w:szCs w:val="21"/>
              </w:rPr>
              <w:t>其它费用</w:t>
            </w:r>
          </w:p>
        </w:tc>
        <w:tc>
          <w:tcPr>
            <w:tcW w:w="7034" w:type="dxa"/>
            <w:gridSpan w:val="5"/>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4" w:type="dxa"/>
            <w:gridSpan w:val="2"/>
            <w:vAlign w:val="center"/>
          </w:tcPr>
          <w:p>
            <w:pPr>
              <w:adjustRightInd w:val="0"/>
              <w:snapToGrid w:val="0"/>
              <w:spacing w:line="440" w:lineRule="exact"/>
              <w:rPr>
                <w:rFonts w:ascii="宋体" w:hAnsi="宋体" w:eastAsia="宋体" w:cs="宋体"/>
                <w:szCs w:val="21"/>
              </w:rPr>
            </w:pPr>
            <w:r>
              <w:rPr>
                <w:rFonts w:hint="eastAsia" w:ascii="宋体" w:hAnsi="宋体" w:eastAsia="宋体" w:cs="宋体"/>
                <w:szCs w:val="21"/>
              </w:rPr>
              <w:t>投标总报价</w:t>
            </w:r>
          </w:p>
        </w:tc>
        <w:tc>
          <w:tcPr>
            <w:tcW w:w="7034" w:type="dxa"/>
            <w:gridSpan w:val="5"/>
          </w:tcPr>
          <w:p>
            <w:pPr>
              <w:adjustRightInd w:val="0"/>
              <w:snapToGrid w:val="0"/>
              <w:spacing w:line="440" w:lineRule="exac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434" w:type="dxa"/>
            <w:gridSpan w:val="2"/>
            <w:vAlign w:val="center"/>
          </w:tcPr>
          <w:p>
            <w:pPr>
              <w:adjustRightInd w:val="0"/>
              <w:snapToGrid w:val="0"/>
              <w:rPr>
                <w:rFonts w:ascii="宋体" w:hAnsi="宋体" w:eastAsia="宋体" w:cs="宋体"/>
                <w:szCs w:val="21"/>
              </w:rPr>
            </w:pPr>
            <w:r>
              <w:rPr>
                <w:rFonts w:hint="eastAsia" w:ascii="宋体" w:hAnsi="宋体" w:eastAsia="宋体" w:cs="宋体"/>
                <w:szCs w:val="21"/>
              </w:rPr>
              <w:t>免费保修期后的收费服务标准</w:t>
            </w:r>
          </w:p>
        </w:tc>
        <w:tc>
          <w:tcPr>
            <w:tcW w:w="7034" w:type="dxa"/>
            <w:gridSpan w:val="5"/>
          </w:tcPr>
          <w:p>
            <w:pPr>
              <w:adjustRightInd w:val="0"/>
              <w:snapToGrid w:val="0"/>
              <w:spacing w:line="440" w:lineRule="exact"/>
              <w:rPr>
                <w:rFonts w:ascii="宋体" w:hAnsi="宋体" w:eastAsia="宋体" w:cs="宋体"/>
                <w:szCs w:val="21"/>
              </w:rPr>
            </w:pPr>
          </w:p>
        </w:tc>
      </w:tr>
    </w:tbl>
    <w:p>
      <w:pPr>
        <w:adjustRightInd w:val="0"/>
        <w:snapToGrid w:val="0"/>
        <w:spacing w:line="440" w:lineRule="exact"/>
        <w:rPr>
          <w:rFonts w:ascii="宋体" w:hAnsi="宋体" w:eastAsia="宋体" w:cs="宋体"/>
          <w:sz w:val="24"/>
          <w:u w:val="single"/>
        </w:rPr>
      </w:pPr>
    </w:p>
    <w:p>
      <w:pPr>
        <w:adjustRightInd w:val="0"/>
        <w:snapToGrid w:val="0"/>
        <w:spacing w:line="440" w:lineRule="exact"/>
        <w:rPr>
          <w:rFonts w:ascii="宋体" w:hAnsi="宋体" w:eastAsia="宋体" w:cs="宋体"/>
          <w:szCs w:val="21"/>
        </w:rPr>
      </w:pPr>
      <w:r>
        <w:rPr>
          <w:rFonts w:hint="eastAsia" w:ascii="宋体" w:hAnsi="宋体" w:eastAsia="宋体" w:cs="宋体"/>
          <w:szCs w:val="21"/>
        </w:rPr>
        <w:t>说明：</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1.所有价格均用人民币表示，单位为元，准确到个位数。</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2.总计价格必须与“开标一览表”投标总报价一致。</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3.如投标文件中未提供此表，将被视为没有实质性响应招标文件的要求。</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4.免费保修期后的收费服务标准须文字说明。</w:t>
      </w:r>
    </w:p>
    <w:p>
      <w:pPr>
        <w:adjustRightInd w:val="0"/>
        <w:snapToGrid w:val="0"/>
        <w:spacing w:line="440" w:lineRule="exact"/>
        <w:rPr>
          <w:rFonts w:ascii="宋体" w:hAnsi="宋体" w:eastAsia="宋体" w:cs="宋体"/>
          <w:szCs w:val="21"/>
        </w:rPr>
      </w:pPr>
    </w:p>
    <w:p>
      <w:pPr>
        <w:adjustRightInd w:val="0"/>
        <w:snapToGrid w:val="0"/>
        <w:spacing w:line="440" w:lineRule="exact"/>
        <w:rPr>
          <w:rFonts w:ascii="宋体" w:hAnsi="宋体" w:eastAsia="宋体" w:cs="宋体"/>
          <w:szCs w:val="21"/>
        </w:rPr>
      </w:pPr>
      <w:r>
        <w:rPr>
          <w:rFonts w:hint="eastAsia" w:ascii="宋体" w:hAnsi="宋体" w:eastAsia="宋体" w:cs="宋体"/>
          <w:szCs w:val="21"/>
        </w:rPr>
        <w:t>供应商（授权）代表签字：</w:t>
      </w:r>
      <w:r>
        <w:rPr>
          <w:rFonts w:hint="eastAsia" w:ascii="宋体" w:hAnsi="宋体" w:eastAsia="宋体" w:cs="宋体"/>
          <w:szCs w:val="21"/>
          <w:u w:val="single"/>
        </w:rPr>
        <w:t xml:space="preserve">               </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adjustRightInd w:val="0"/>
        <w:snapToGrid w:val="0"/>
        <w:spacing w:line="440" w:lineRule="exact"/>
        <w:rPr>
          <w:rFonts w:ascii="宋体" w:hAnsi="宋体" w:eastAsia="宋体" w:cs="宋体"/>
          <w:szCs w:val="21"/>
        </w:rPr>
      </w:pPr>
      <w:r>
        <w:rPr>
          <w:rFonts w:hint="eastAsia" w:ascii="宋体" w:hAnsi="宋体" w:eastAsia="宋体" w:cs="宋体"/>
          <w:szCs w:val="21"/>
        </w:rPr>
        <w:t>时间：</w:t>
      </w:r>
      <w:r>
        <w:rPr>
          <w:rFonts w:hint="eastAsia" w:ascii="宋体" w:hAnsi="宋体" w:eastAsia="宋体" w:cs="宋体"/>
          <w:szCs w:val="21"/>
          <w:u w:val="single"/>
        </w:rPr>
        <w:t xml:space="preserve">                                 </w:t>
      </w:r>
    </w:p>
    <w:p>
      <w:pPr>
        <w:ind w:firstLine="420" w:firstLineChars="200"/>
        <w:rPr>
          <w:rFonts w:ascii="宋体" w:hAnsi="宋体" w:eastAsia="宋体" w:cs="宋体"/>
          <w:szCs w:val="21"/>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ind w:firstLine="480" w:firstLineChars="200"/>
        <w:rPr>
          <w:rFonts w:ascii="宋体" w:hAnsi="宋体" w:eastAsia="宋体" w:cs="宋体"/>
          <w:sz w:val="24"/>
        </w:rPr>
      </w:pPr>
    </w:p>
    <w:p>
      <w:pPr>
        <w:tabs>
          <w:tab w:val="left" w:pos="5103"/>
        </w:tabs>
        <w:ind w:firstLine="426"/>
        <w:rPr>
          <w:rFonts w:ascii="宋体" w:hAnsi="宋体" w:eastAsia="宋体" w:cs="宋体"/>
          <w:sz w:val="24"/>
        </w:rPr>
      </w:pPr>
    </w:p>
    <w:p>
      <w:pPr>
        <w:tabs>
          <w:tab w:val="left" w:pos="5103"/>
        </w:tabs>
        <w:ind w:firstLine="426"/>
        <w:rPr>
          <w:rFonts w:ascii="宋体" w:hAnsi="宋体" w:eastAsia="宋体" w:cs="宋体"/>
          <w:sz w:val="24"/>
        </w:rPr>
      </w:pPr>
    </w:p>
    <w:p>
      <w:pPr>
        <w:tabs>
          <w:tab w:val="left" w:pos="5103"/>
        </w:tabs>
        <w:ind w:firstLine="426"/>
        <w:rPr>
          <w:rFonts w:ascii="宋体" w:hAnsi="宋体" w:eastAsia="宋体" w:cs="宋体"/>
          <w:sz w:val="24"/>
        </w:rPr>
      </w:pPr>
    </w:p>
    <w:p>
      <w:pPr>
        <w:adjustRightInd w:val="0"/>
        <w:snapToGrid w:val="0"/>
        <w:jc w:val="center"/>
        <w:rPr>
          <w:rFonts w:ascii="宋体" w:hAnsi="宋体" w:eastAsia="宋体" w:cs="宋体"/>
          <w:sz w:val="24"/>
        </w:rPr>
      </w:pPr>
      <w:r>
        <w:rPr>
          <w:rFonts w:hint="eastAsia" w:ascii="宋体" w:hAnsi="宋体" w:eastAsia="宋体" w:cs="宋体"/>
          <w:sz w:val="24"/>
        </w:rPr>
        <w:br w:type="page"/>
      </w:r>
      <w:r>
        <w:rPr>
          <w:rStyle w:val="44"/>
          <w:rFonts w:hint="eastAsia" w:ascii="宋体" w:hAnsi="宋体" w:cs="宋体"/>
          <w:sz w:val="24"/>
          <w:szCs w:val="24"/>
        </w:rPr>
        <w:t>七.设备交货明细表（即装箱单）</w:t>
      </w:r>
    </w:p>
    <w:p>
      <w:pPr>
        <w:adjustRightInd w:val="0"/>
        <w:snapToGrid w:val="0"/>
        <w:ind w:left="-88" w:leftChars="-42" w:firstLine="480"/>
        <w:jc w:val="center"/>
        <w:rPr>
          <w:rFonts w:ascii="宋体" w:hAnsi="宋体" w:eastAsia="宋体" w:cs="宋体"/>
          <w:b/>
        </w:rPr>
      </w:pPr>
    </w:p>
    <w:p>
      <w:pPr>
        <w:adjustRightInd w:val="0"/>
        <w:snapToGrid w:val="0"/>
        <w:spacing w:line="360" w:lineRule="auto"/>
        <w:ind w:left="-88" w:leftChars="-42" w:firstLine="210" w:firstLineChars="100"/>
        <w:rPr>
          <w:rFonts w:ascii="宋体" w:hAnsi="宋体" w:eastAsia="宋体" w:cs="宋体"/>
        </w:rPr>
      </w:pPr>
      <w:r>
        <w:rPr>
          <w:rFonts w:hint="eastAsia" w:ascii="宋体" w:hAnsi="宋体" w:eastAsia="宋体" w:cs="宋体"/>
        </w:rPr>
        <w:t>供应商名称:                                                  项目编号：</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6"/>
        <w:gridCol w:w="1854"/>
        <w:gridCol w:w="1690"/>
        <w:gridCol w:w="1690"/>
        <w:gridCol w:w="698"/>
        <w:gridCol w:w="999"/>
        <w:gridCol w:w="1081"/>
        <w:gridCol w:w="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2" w:type="dxa"/>
          <w:cantSplit/>
          <w:trHeight w:val="322" w:hRule="atLeast"/>
        </w:trPr>
        <w:tc>
          <w:tcPr>
            <w:tcW w:w="696"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序号</w:t>
            </w:r>
          </w:p>
        </w:tc>
        <w:tc>
          <w:tcPr>
            <w:tcW w:w="1854"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名称</w:t>
            </w:r>
          </w:p>
        </w:tc>
        <w:tc>
          <w:tcPr>
            <w:tcW w:w="1690" w:type="dxa"/>
            <w:vAlign w:val="center"/>
          </w:tcPr>
          <w:p>
            <w:pPr>
              <w:adjustRightInd w:val="0"/>
              <w:snapToGrid w:val="0"/>
              <w:ind w:right="-772" w:rightChars="-368" w:firstLine="525" w:firstLineChars="250"/>
              <w:outlineLvl w:val="0"/>
              <w:rPr>
                <w:rFonts w:ascii="宋体" w:hAnsi="宋体" w:eastAsia="宋体" w:cs="宋体"/>
              </w:rPr>
            </w:pPr>
            <w:r>
              <w:rPr>
                <w:rFonts w:hint="eastAsia" w:ascii="宋体" w:hAnsi="宋体" w:eastAsia="宋体" w:cs="宋体"/>
              </w:rPr>
              <w:t>型号规格</w:t>
            </w:r>
          </w:p>
        </w:tc>
        <w:tc>
          <w:tcPr>
            <w:tcW w:w="1690"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制造商名称</w:t>
            </w:r>
          </w:p>
        </w:tc>
        <w:tc>
          <w:tcPr>
            <w:tcW w:w="698"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数量</w:t>
            </w:r>
          </w:p>
        </w:tc>
        <w:tc>
          <w:tcPr>
            <w:tcW w:w="999"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单价</w:t>
            </w:r>
          </w:p>
        </w:tc>
        <w:tc>
          <w:tcPr>
            <w:tcW w:w="1081" w:type="dxa"/>
            <w:vAlign w:val="center"/>
          </w:tcPr>
          <w:p>
            <w:pPr>
              <w:adjustRightInd w:val="0"/>
              <w:snapToGrid w:val="0"/>
              <w:jc w:val="center"/>
              <w:outlineLvl w:val="0"/>
              <w:rPr>
                <w:rFonts w:ascii="宋体" w:hAnsi="宋体" w:eastAsia="宋体" w:cs="宋体"/>
              </w:rPr>
            </w:pPr>
            <w:r>
              <w:rPr>
                <w:rFonts w:hint="eastAsia" w:ascii="宋体" w:hAnsi="宋体" w:eastAsia="宋体" w:cs="宋体"/>
              </w:rPr>
              <w:t>合价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47"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696" w:type="dxa"/>
          </w:tcPr>
          <w:p>
            <w:pPr>
              <w:adjustRightInd w:val="0"/>
              <w:snapToGrid w:val="0"/>
              <w:spacing w:line="360" w:lineRule="auto"/>
              <w:jc w:val="center"/>
              <w:outlineLvl w:val="0"/>
              <w:rPr>
                <w:rFonts w:ascii="宋体" w:hAnsi="宋体" w:eastAsia="宋体" w:cs="宋体"/>
              </w:rPr>
            </w:pPr>
          </w:p>
        </w:tc>
        <w:tc>
          <w:tcPr>
            <w:tcW w:w="1854"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1690" w:type="dxa"/>
          </w:tcPr>
          <w:p>
            <w:pPr>
              <w:adjustRightInd w:val="0"/>
              <w:snapToGrid w:val="0"/>
              <w:spacing w:line="360" w:lineRule="auto"/>
              <w:jc w:val="center"/>
              <w:outlineLvl w:val="0"/>
              <w:rPr>
                <w:rFonts w:ascii="宋体" w:hAnsi="宋体" w:eastAsia="宋体" w:cs="宋体"/>
              </w:rPr>
            </w:pPr>
          </w:p>
        </w:tc>
        <w:tc>
          <w:tcPr>
            <w:tcW w:w="698" w:type="dxa"/>
          </w:tcPr>
          <w:p>
            <w:pPr>
              <w:adjustRightInd w:val="0"/>
              <w:snapToGrid w:val="0"/>
              <w:spacing w:line="360" w:lineRule="auto"/>
              <w:jc w:val="center"/>
              <w:outlineLvl w:val="0"/>
              <w:rPr>
                <w:rFonts w:ascii="宋体" w:hAnsi="宋体" w:eastAsia="宋体" w:cs="宋体"/>
              </w:rPr>
            </w:pPr>
          </w:p>
        </w:tc>
        <w:tc>
          <w:tcPr>
            <w:tcW w:w="999" w:type="dxa"/>
            <w:tcBorders>
              <w:right w:val="single" w:color="auto" w:sz="4" w:space="0"/>
            </w:tcBorders>
          </w:tcPr>
          <w:p>
            <w:pPr>
              <w:adjustRightInd w:val="0"/>
              <w:snapToGrid w:val="0"/>
              <w:spacing w:line="360" w:lineRule="auto"/>
              <w:jc w:val="center"/>
              <w:outlineLvl w:val="0"/>
              <w:rPr>
                <w:rFonts w:ascii="宋体" w:hAnsi="宋体" w:eastAsia="宋体" w:cs="宋体"/>
              </w:rPr>
            </w:pPr>
          </w:p>
        </w:tc>
        <w:tc>
          <w:tcPr>
            <w:tcW w:w="1093" w:type="dxa"/>
            <w:gridSpan w:val="2"/>
            <w:tcBorders>
              <w:left w:val="single" w:color="auto" w:sz="4" w:space="0"/>
            </w:tcBorders>
          </w:tcPr>
          <w:p>
            <w:pPr>
              <w:adjustRightInd w:val="0"/>
              <w:snapToGrid w:val="0"/>
              <w:spacing w:line="360" w:lineRule="auto"/>
              <w:jc w:val="center"/>
              <w:outlineLvl w:val="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trPr>
        <w:tc>
          <w:tcPr>
            <w:tcW w:w="8720" w:type="dxa"/>
            <w:gridSpan w:val="8"/>
          </w:tcPr>
          <w:p>
            <w:pPr>
              <w:adjustRightInd w:val="0"/>
              <w:snapToGrid w:val="0"/>
              <w:spacing w:line="360" w:lineRule="auto"/>
              <w:jc w:val="center"/>
              <w:outlineLvl w:val="0"/>
              <w:rPr>
                <w:rFonts w:ascii="宋体" w:hAnsi="宋体" w:eastAsia="宋体" w:cs="宋体"/>
              </w:rPr>
            </w:pPr>
            <w:r>
              <w:rPr>
                <w:rFonts w:hint="eastAsia" w:ascii="宋体" w:hAnsi="宋体" w:eastAsia="宋体" w:cs="宋体"/>
              </w:rPr>
              <w:t>总  价</w:t>
            </w:r>
          </w:p>
        </w:tc>
      </w:tr>
    </w:tbl>
    <w:p>
      <w:pPr>
        <w:adjustRightInd w:val="0"/>
        <w:snapToGrid w:val="0"/>
        <w:ind w:left="-88" w:leftChars="-42"/>
        <w:jc w:val="center"/>
        <w:outlineLvl w:val="0"/>
        <w:rPr>
          <w:rFonts w:ascii="宋体" w:hAnsi="宋体" w:eastAsia="宋体" w:cs="宋体"/>
        </w:rPr>
      </w:pPr>
    </w:p>
    <w:p>
      <w:pPr>
        <w:adjustRightInd w:val="0"/>
        <w:snapToGrid w:val="0"/>
        <w:ind w:left="-88" w:leftChars="-42"/>
        <w:outlineLvl w:val="0"/>
        <w:rPr>
          <w:rFonts w:ascii="宋体" w:hAnsi="宋体" w:eastAsia="宋体" w:cs="宋体"/>
        </w:rPr>
      </w:pPr>
      <w:r>
        <w:rPr>
          <w:rFonts w:hint="eastAsia" w:ascii="宋体" w:hAnsi="宋体" w:eastAsia="宋体" w:cs="宋体"/>
        </w:rPr>
        <w:t>注：供应商应将交货的主机、辅机、备品、备件、维修工具、连接管、揽、线，及技术文件（含软件）、使用说明书、合格证、售后服务卡等所有的零部件。文件全部填写清楚，此件为需方开箱验收的依据及评标时的重要文件。</w:t>
      </w:r>
    </w:p>
    <w:p>
      <w:pPr>
        <w:adjustRightInd w:val="0"/>
        <w:snapToGrid w:val="0"/>
        <w:outlineLvl w:val="0"/>
        <w:rPr>
          <w:rFonts w:ascii="宋体" w:hAnsi="宋体" w:eastAsia="宋体" w:cs="宋体"/>
        </w:rPr>
      </w:pPr>
    </w:p>
    <w:p>
      <w:pPr>
        <w:adjustRightInd w:val="0"/>
        <w:snapToGrid w:val="0"/>
        <w:outlineLvl w:val="0"/>
        <w:rPr>
          <w:rFonts w:ascii="宋体" w:hAnsi="宋体" w:eastAsia="宋体" w:cs="宋体"/>
        </w:rPr>
      </w:pPr>
    </w:p>
    <w:p>
      <w:pPr>
        <w:tabs>
          <w:tab w:val="left" w:pos="5910"/>
        </w:tabs>
        <w:adjustRightInd w:val="0"/>
        <w:snapToGrid w:val="0"/>
        <w:spacing w:line="360" w:lineRule="auto"/>
        <w:ind w:firstLine="945" w:firstLineChars="450"/>
        <w:rPr>
          <w:rFonts w:ascii="宋体" w:hAnsi="宋体" w:eastAsia="宋体" w:cs="宋体"/>
        </w:rPr>
      </w:pPr>
      <w:r>
        <w:rPr>
          <w:rFonts w:hint="eastAsia" w:ascii="宋体" w:hAnsi="宋体" w:eastAsia="宋体" w:cs="宋体"/>
        </w:rPr>
        <w:t>供应商授权代表签字：</w:t>
      </w:r>
      <w:r>
        <w:rPr>
          <w:rFonts w:hint="eastAsia" w:ascii="宋体" w:hAnsi="宋体" w:eastAsia="宋体" w:cs="宋体"/>
          <w:u w:val="single"/>
        </w:rPr>
        <w:t xml:space="preserve">                  </w:t>
      </w:r>
      <w:r>
        <w:rPr>
          <w:rFonts w:hint="eastAsia" w:ascii="宋体" w:hAnsi="宋体" w:eastAsia="宋体" w:cs="宋体"/>
        </w:rPr>
        <w:tab/>
      </w:r>
    </w:p>
    <w:p>
      <w:pPr>
        <w:adjustRightInd w:val="0"/>
        <w:snapToGrid w:val="0"/>
        <w:spacing w:line="360" w:lineRule="auto"/>
        <w:ind w:left="-88" w:leftChars="-42" w:firstLine="3507" w:firstLineChars="1670"/>
        <w:rPr>
          <w:rFonts w:ascii="宋体" w:hAnsi="宋体" w:eastAsia="宋体" w:cs="宋体"/>
        </w:rPr>
      </w:pPr>
    </w:p>
    <w:p>
      <w:pPr>
        <w:adjustRightInd w:val="0"/>
        <w:snapToGrid w:val="0"/>
        <w:spacing w:line="360" w:lineRule="auto"/>
        <w:ind w:firstLine="945" w:firstLineChars="450"/>
        <w:rPr>
          <w:rFonts w:ascii="宋体" w:hAnsi="宋体" w:eastAsia="宋体" w:cs="宋体"/>
        </w:rPr>
      </w:pPr>
      <w:r>
        <w:rPr>
          <w:rFonts w:hint="eastAsia" w:ascii="宋体" w:hAnsi="宋体" w:eastAsia="宋体" w:cs="宋体"/>
        </w:rPr>
        <w:t>供  应  商 （公章）：</w:t>
      </w:r>
      <w:r>
        <w:rPr>
          <w:rFonts w:hint="eastAsia" w:ascii="宋体" w:hAnsi="宋体" w:eastAsia="宋体" w:cs="宋体"/>
          <w:u w:val="single"/>
        </w:rPr>
        <w:t xml:space="preserve">                  </w:t>
      </w:r>
    </w:p>
    <w:p>
      <w:pPr>
        <w:adjustRightInd w:val="0"/>
        <w:snapToGrid w:val="0"/>
        <w:spacing w:line="360" w:lineRule="auto"/>
        <w:ind w:left="-88" w:leftChars="-42" w:firstLine="3507" w:firstLineChars="1670"/>
        <w:rPr>
          <w:rFonts w:ascii="宋体" w:hAnsi="宋体" w:eastAsia="宋体" w:cs="宋体"/>
        </w:rPr>
      </w:pPr>
    </w:p>
    <w:p>
      <w:pPr>
        <w:adjustRightInd w:val="0"/>
        <w:snapToGrid w:val="0"/>
        <w:spacing w:line="360" w:lineRule="auto"/>
        <w:ind w:firstLine="945" w:firstLineChars="450"/>
        <w:rPr>
          <w:rFonts w:ascii="宋体" w:hAnsi="宋体" w:eastAsia="宋体" w:cs="宋体"/>
        </w:rPr>
      </w:pPr>
      <w:r>
        <w:rPr>
          <w:rFonts w:hint="eastAsia" w:ascii="宋体" w:hAnsi="宋体" w:eastAsia="宋体" w:cs="宋体"/>
        </w:rPr>
        <w:t>日              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pStyle w:val="3"/>
        <w:spacing w:line="560" w:lineRule="exact"/>
        <w:jc w:val="center"/>
        <w:rPr>
          <w:rFonts w:ascii="宋体" w:hAnsi="宋体" w:eastAsia="宋体" w:cs="宋体"/>
        </w:rPr>
      </w:pPr>
    </w:p>
    <w:p>
      <w:pPr>
        <w:pStyle w:val="11"/>
        <w:widowControl/>
        <w:adjustRightInd w:val="0"/>
        <w:snapToGrid w:val="0"/>
        <w:spacing w:line="500" w:lineRule="exact"/>
        <w:jc w:val="center"/>
        <w:rPr>
          <w:rFonts w:hAnsi="宋体" w:eastAsia="宋体" w:cs="宋体"/>
          <w:b/>
        </w:rPr>
      </w:pPr>
      <w:r>
        <w:rPr>
          <w:rFonts w:hint="eastAsia" w:hAnsi="宋体" w:eastAsia="宋体" w:cs="宋体"/>
          <w:b/>
          <w:sz w:val="24"/>
        </w:rPr>
        <w:br w:type="page"/>
      </w:r>
      <w:r>
        <w:rPr>
          <w:rFonts w:hint="eastAsia" w:hAnsi="宋体" w:eastAsia="宋体" w:cs="宋体"/>
          <w:b/>
          <w:sz w:val="24"/>
        </w:rPr>
        <w:t>八</w:t>
      </w:r>
      <w:bookmarkStart w:id="84" w:name="_Toc421702735"/>
      <w:r>
        <w:rPr>
          <w:rFonts w:hint="eastAsia" w:hAnsi="宋体" w:eastAsia="宋体" w:cs="宋体"/>
          <w:b/>
          <w:sz w:val="24"/>
        </w:rPr>
        <w:t>.关于资格的声明函</w:t>
      </w:r>
      <w:bookmarkEnd w:id="84"/>
    </w:p>
    <w:p>
      <w:pPr>
        <w:spacing w:line="360" w:lineRule="auto"/>
        <w:rPr>
          <w:rFonts w:ascii="宋体" w:hAnsi="宋体" w:eastAsia="宋体" w:cs="宋体"/>
          <w:sz w:val="24"/>
        </w:rPr>
      </w:pPr>
    </w:p>
    <w:p>
      <w:pPr>
        <w:spacing w:line="360" w:lineRule="auto"/>
        <w:rPr>
          <w:rFonts w:ascii="宋体" w:hAnsi="宋体" w:eastAsia="宋体" w:cs="宋体"/>
          <w:szCs w:val="21"/>
        </w:rPr>
      </w:pPr>
      <w:r>
        <w:rPr>
          <w:rFonts w:hint="eastAsia" w:ascii="宋体" w:hAnsi="宋体" w:eastAsia="宋体" w:cs="宋体"/>
          <w:szCs w:val="21"/>
        </w:rPr>
        <w:t>湖北国华招标咨询有限公司和采购人：</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   关于贵方</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日项目编号为</w:t>
      </w:r>
      <w:r>
        <w:rPr>
          <w:rFonts w:hint="eastAsia" w:ascii="宋体" w:hAnsi="宋体" w:eastAsia="宋体" w:cs="宋体"/>
          <w:szCs w:val="21"/>
          <w:u w:val="single"/>
        </w:rPr>
        <w:t xml:space="preserve">           </w:t>
      </w:r>
      <w:r>
        <w:rPr>
          <w:rFonts w:hint="eastAsia" w:ascii="宋体" w:hAnsi="宋体" w:eastAsia="宋体" w:cs="宋体"/>
          <w:szCs w:val="21"/>
        </w:rPr>
        <w:t xml:space="preserve"> 的投标邀请，本单位愿意参加投标，并证明随本文件后提交的下列文件和说明是准确的和真实的：</w:t>
      </w:r>
    </w:p>
    <w:p>
      <w:pPr>
        <w:numPr>
          <w:ilvl w:val="0"/>
          <w:numId w:val="57"/>
        </w:numPr>
        <w:tabs>
          <w:tab w:val="left" w:pos="905"/>
          <w:tab w:val="clear" w:pos="425"/>
        </w:tabs>
        <w:spacing w:line="360" w:lineRule="auto"/>
        <w:ind w:left="905"/>
        <w:rPr>
          <w:rFonts w:ascii="宋体" w:hAnsi="宋体" w:eastAsia="宋体" w:cs="宋体"/>
          <w:szCs w:val="21"/>
        </w:rPr>
      </w:pPr>
      <w:r>
        <w:rPr>
          <w:rFonts w:hint="eastAsia" w:ascii="宋体" w:hAnsi="宋体" w:eastAsia="宋体" w:cs="宋体"/>
          <w:szCs w:val="21"/>
        </w:rPr>
        <w:t>由国家行政主管部门签发的我方《工商营业执照》副本复印件[加盖公章]一份。</w:t>
      </w:r>
    </w:p>
    <w:p>
      <w:pPr>
        <w:numPr>
          <w:ilvl w:val="0"/>
          <w:numId w:val="57"/>
        </w:numPr>
        <w:tabs>
          <w:tab w:val="left" w:pos="905"/>
          <w:tab w:val="clear" w:pos="425"/>
        </w:tabs>
        <w:spacing w:line="360" w:lineRule="auto"/>
        <w:ind w:left="905"/>
        <w:rPr>
          <w:rFonts w:ascii="宋体" w:hAnsi="宋体" w:eastAsia="宋体" w:cs="宋体"/>
          <w:szCs w:val="21"/>
        </w:rPr>
      </w:pPr>
      <w:r>
        <w:rPr>
          <w:rFonts w:hint="eastAsia" w:ascii="宋体" w:hAnsi="宋体" w:eastAsia="宋体" w:cs="宋体"/>
          <w:szCs w:val="21"/>
        </w:rPr>
        <w:t>所有投标文件或资料的内容。</w:t>
      </w:r>
    </w:p>
    <w:p>
      <w:pPr>
        <w:spacing w:line="360" w:lineRule="auto"/>
        <w:rPr>
          <w:rFonts w:ascii="宋体" w:hAnsi="宋体" w:eastAsia="宋体" w:cs="宋体"/>
          <w:szCs w:val="21"/>
        </w:rPr>
      </w:pPr>
      <w:r>
        <w:rPr>
          <w:rFonts w:hint="eastAsia" w:ascii="宋体" w:hAnsi="宋体" w:eastAsia="宋体" w:cs="宋体"/>
          <w:szCs w:val="21"/>
        </w:rPr>
        <w:t xml:space="preserve">    上述文件及资料如有失实之处，我单位及文件签署人愿承担因此将引起的一切法律责任和后果。</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单位名称[盖章]：                       </w:t>
      </w:r>
    </w:p>
    <w:p>
      <w:pPr>
        <w:spacing w:line="360" w:lineRule="auto"/>
        <w:rPr>
          <w:rFonts w:ascii="宋体" w:hAnsi="宋体" w:eastAsia="宋体" w:cs="宋体"/>
          <w:szCs w:val="21"/>
        </w:rPr>
      </w:pPr>
      <w:r>
        <w:rPr>
          <w:rFonts w:hint="eastAsia" w:ascii="宋体" w:hAnsi="宋体" w:eastAsia="宋体" w:cs="宋体"/>
          <w:szCs w:val="21"/>
        </w:rPr>
        <w:t>注册地址：                            法定代表人签字：</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 xml:space="preserve">经营地址：                            </w:t>
      </w:r>
    </w:p>
    <w:p>
      <w:pPr>
        <w:spacing w:line="360" w:lineRule="auto"/>
        <w:rPr>
          <w:rFonts w:ascii="宋体" w:hAnsi="宋体" w:eastAsia="宋体" w:cs="宋体"/>
          <w:szCs w:val="21"/>
        </w:rPr>
      </w:pPr>
      <w:r>
        <w:rPr>
          <w:rFonts w:hint="eastAsia" w:ascii="宋体" w:hAnsi="宋体" w:eastAsia="宋体" w:cs="宋体"/>
          <w:szCs w:val="21"/>
        </w:rPr>
        <w:t>传真：                                授权代表签字：</w:t>
      </w:r>
    </w:p>
    <w:p>
      <w:pPr>
        <w:adjustRightInd w:val="0"/>
        <w:snapToGrid w:val="0"/>
        <w:spacing w:line="360" w:lineRule="auto"/>
        <w:rPr>
          <w:rFonts w:ascii="宋体" w:hAnsi="宋体" w:eastAsia="宋体" w:cs="宋体"/>
          <w:szCs w:val="21"/>
        </w:rPr>
      </w:pPr>
      <w:r>
        <w:rPr>
          <w:rFonts w:hint="eastAsia" w:ascii="宋体" w:hAnsi="宋体" w:eastAsia="宋体" w:cs="宋体"/>
          <w:szCs w:val="21"/>
        </w:rPr>
        <w:t>邮编：                                电话：</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djustRightInd w:val="0"/>
        <w:snapToGrid w:val="0"/>
        <w:ind w:left="-88" w:leftChars="-42"/>
        <w:jc w:val="center"/>
        <w:outlineLvl w:val="0"/>
        <w:rPr>
          <w:rFonts w:ascii="宋体" w:hAnsi="宋体" w:eastAsia="宋体" w:cs="宋体"/>
          <w:b/>
          <w:sz w:val="24"/>
        </w:rPr>
      </w:pPr>
      <w:r>
        <w:rPr>
          <w:rFonts w:hint="eastAsia" w:ascii="宋体" w:hAnsi="宋体" w:eastAsia="宋体" w:cs="宋体"/>
          <w:b/>
          <w:sz w:val="24"/>
        </w:rPr>
        <w:br w:type="page"/>
      </w:r>
    </w:p>
    <w:p>
      <w:pPr>
        <w:pStyle w:val="3"/>
        <w:spacing w:line="560" w:lineRule="exact"/>
        <w:jc w:val="center"/>
        <w:rPr>
          <w:rFonts w:ascii="宋体" w:hAnsi="宋体" w:eastAsia="宋体" w:cs="宋体"/>
          <w:sz w:val="21"/>
          <w:szCs w:val="21"/>
        </w:rPr>
      </w:pPr>
      <w:r>
        <w:rPr>
          <w:rStyle w:val="44"/>
          <w:rFonts w:hint="eastAsia" w:ascii="宋体" w:hAnsi="宋体" w:cs="宋体"/>
          <w:b/>
          <w:bCs/>
          <w:sz w:val="24"/>
          <w:szCs w:val="24"/>
        </w:rPr>
        <w:t>九.</w:t>
      </w:r>
      <w:r>
        <w:rPr>
          <w:rFonts w:hint="eastAsia" w:ascii="宋体" w:hAnsi="宋体" w:eastAsia="宋体" w:cs="宋体"/>
        </w:rPr>
        <w:t>投标资格证明文件</w:t>
      </w:r>
    </w:p>
    <w:p>
      <w:pPr>
        <w:tabs>
          <w:tab w:val="left" w:pos="900"/>
        </w:tabs>
        <w:spacing w:line="600" w:lineRule="exact"/>
        <w:ind w:firstLine="420" w:firstLineChars="200"/>
        <w:rPr>
          <w:rFonts w:ascii="宋体" w:hAnsi="宋体" w:eastAsia="宋体" w:cs="宋体"/>
          <w:szCs w:val="21"/>
        </w:rPr>
      </w:pPr>
      <w:r>
        <w:rPr>
          <w:rFonts w:hint="eastAsia" w:ascii="宋体" w:hAnsi="宋体" w:eastAsia="宋体" w:cs="宋体"/>
          <w:szCs w:val="21"/>
        </w:rPr>
        <w:t>1.营业执照；</w:t>
      </w:r>
    </w:p>
    <w:p>
      <w:pPr>
        <w:spacing w:line="600" w:lineRule="exact"/>
        <w:ind w:firstLine="420" w:firstLineChars="200"/>
        <w:rPr>
          <w:rFonts w:ascii="宋体" w:hAnsi="宋体" w:eastAsia="宋体" w:cs="宋体"/>
          <w:szCs w:val="21"/>
        </w:rPr>
      </w:pPr>
      <w:r>
        <w:rPr>
          <w:rFonts w:hint="eastAsia" w:ascii="宋体" w:hAnsi="宋体" w:eastAsia="宋体" w:cs="宋体"/>
          <w:szCs w:val="21"/>
        </w:rPr>
        <w:t>2.无不良记录查询及声明</w:t>
      </w:r>
    </w:p>
    <w:p>
      <w:pPr>
        <w:spacing w:line="600" w:lineRule="exact"/>
        <w:ind w:firstLine="420" w:firstLineChars="200"/>
        <w:rPr>
          <w:rFonts w:ascii="宋体" w:hAnsi="宋体" w:eastAsia="宋体" w:cs="宋体"/>
          <w:szCs w:val="21"/>
        </w:rPr>
      </w:pPr>
      <w:r>
        <w:rPr>
          <w:rFonts w:hint="eastAsia" w:ascii="宋体" w:hAnsi="宋体" w:eastAsia="宋体" w:cs="宋体"/>
          <w:szCs w:val="21"/>
        </w:rPr>
        <w:t>3.招标文件中要求提供的其他资格证明文件。</w:t>
      </w:r>
    </w:p>
    <w:p>
      <w:pPr>
        <w:adjustRightInd w:val="0"/>
        <w:snapToGrid w:val="0"/>
        <w:ind w:left="-88" w:leftChars="-42"/>
        <w:jc w:val="center"/>
        <w:outlineLvl w:val="0"/>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十</w:t>
      </w:r>
      <w:bookmarkStart w:id="85" w:name="_Toc421702736"/>
      <w:r>
        <w:rPr>
          <w:rFonts w:hint="eastAsia" w:ascii="宋体" w:hAnsi="宋体" w:eastAsia="宋体" w:cs="宋体"/>
          <w:b/>
          <w:sz w:val="24"/>
        </w:rPr>
        <w:t>.法定代表人身份证明书</w:t>
      </w:r>
      <w:bookmarkEnd w:id="85"/>
      <w:r>
        <w:rPr>
          <w:rFonts w:hint="eastAsia" w:ascii="宋体" w:hAnsi="宋体" w:eastAsia="宋体" w:cs="宋体"/>
          <w:b/>
          <w:sz w:val="24"/>
        </w:rPr>
        <w:t>（格式）</w:t>
      </w:r>
    </w:p>
    <w:p>
      <w:pPr>
        <w:adjustRightInd w:val="0"/>
        <w:snapToGrid w:val="0"/>
        <w:ind w:left="-88" w:leftChars="-42"/>
        <w:jc w:val="center"/>
        <w:outlineLvl w:val="0"/>
        <w:rPr>
          <w:rFonts w:ascii="宋体" w:hAnsi="宋体" w:eastAsia="宋体" w:cs="宋体"/>
          <w:b/>
          <w:sz w:val="24"/>
        </w:rPr>
      </w:pPr>
    </w:p>
    <w:p>
      <w:pPr>
        <w:spacing w:line="360" w:lineRule="auto"/>
        <w:rPr>
          <w:rFonts w:ascii="宋体" w:hAnsi="宋体" w:eastAsia="宋体" w:cs="宋体"/>
          <w:szCs w:val="21"/>
          <w:u w:val="single"/>
        </w:rPr>
      </w:pPr>
      <w:r>
        <w:rPr>
          <w:rFonts w:hint="eastAsia" w:ascii="宋体" w:hAnsi="宋体" w:eastAsia="宋体" w:cs="宋体"/>
          <w:szCs w:val="21"/>
        </w:rPr>
        <w:t>企业名称：</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spacing w:line="360" w:lineRule="auto"/>
        <w:rPr>
          <w:rFonts w:ascii="宋体" w:hAnsi="宋体" w:eastAsia="宋体" w:cs="宋体"/>
          <w:szCs w:val="21"/>
        </w:rPr>
      </w:pPr>
      <w:r>
        <w:rPr>
          <w:rFonts w:hint="eastAsia" w:ascii="宋体" w:hAnsi="宋体" w:eastAsia="宋体" w:cs="宋体"/>
          <w:szCs w:val="21"/>
        </w:rPr>
        <w:t>企业性质：</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spacing w:line="360" w:lineRule="auto"/>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年</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月</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日</w:t>
      </w:r>
    </w:p>
    <w:p>
      <w:pPr>
        <w:spacing w:line="360" w:lineRule="auto"/>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spacing w:line="360" w:lineRule="auto"/>
        <w:rPr>
          <w:rFonts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性别：</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年龄：</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职务：</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pPr>
        <w:spacing w:line="360" w:lineRule="auto"/>
        <w:rPr>
          <w:rFonts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（供应商名称）</w:t>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rPr>
        <w:t>的法定代表人。</w:t>
      </w:r>
    </w:p>
    <w:p>
      <w:pPr>
        <w:spacing w:line="360" w:lineRule="auto"/>
        <w:rPr>
          <w:rFonts w:ascii="宋体" w:hAnsi="宋体" w:eastAsia="宋体" w:cs="宋体"/>
          <w:szCs w:val="21"/>
        </w:rPr>
      </w:pPr>
      <w:r>
        <w:rPr>
          <w:rFonts w:hint="eastAsia" w:ascii="宋体" w:hAnsi="宋体" w:eastAsia="宋体" w:cs="宋体"/>
          <w:szCs w:val="21"/>
        </w:rPr>
        <w:t>特此证明。</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ind w:firstLine="2730" w:firstLineChars="1300"/>
        <w:rPr>
          <w:rFonts w:ascii="宋体" w:hAnsi="宋体" w:eastAsia="宋体" w:cs="宋体"/>
          <w:szCs w:val="21"/>
        </w:rPr>
      </w:pPr>
      <w:r>
        <w:rPr>
          <w:rFonts w:hint="eastAsia" w:ascii="宋体" w:hAnsi="宋体" w:eastAsia="宋体" w:cs="宋体"/>
          <w:szCs w:val="21"/>
        </w:rPr>
        <w:t>供应商名称：</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（盖章）</w:t>
      </w:r>
    </w:p>
    <w:p>
      <w:pPr>
        <w:spacing w:line="360" w:lineRule="auto"/>
        <w:ind w:firstLine="2730" w:firstLineChars="130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年</w:t>
      </w:r>
      <w:r>
        <w:rPr>
          <w:rFonts w:hint="eastAsia" w:ascii="宋体" w:hAnsi="宋体" w:eastAsia="宋体" w:cs="宋体"/>
          <w:szCs w:val="21"/>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rPr>
        <w:t>日</w:t>
      </w:r>
    </w:p>
    <w:p>
      <w:pPr>
        <w:pStyle w:val="11"/>
        <w:spacing w:line="360" w:lineRule="auto"/>
        <w:rPr>
          <w:rFonts w:hAnsi="宋体" w:eastAsia="宋体" w:cs="宋体"/>
          <w:sz w:val="24"/>
        </w:rPr>
      </w:pPr>
    </w:p>
    <w:p>
      <w:pPr>
        <w:pStyle w:val="11"/>
        <w:spacing w:line="360" w:lineRule="auto"/>
        <w:ind w:firstLine="480"/>
        <w:rPr>
          <w:rFonts w:hAnsi="宋体" w:eastAsia="宋体" w:cs="宋体"/>
          <w:sz w:val="24"/>
        </w:rPr>
      </w:pPr>
    </w:p>
    <w:p>
      <w:pPr>
        <w:adjustRightInd w:val="0"/>
        <w:snapToGrid w:val="0"/>
        <w:spacing w:line="360" w:lineRule="auto"/>
        <w:ind w:firstLine="1050" w:firstLineChars="500"/>
        <w:rPr>
          <w:rFonts w:ascii="宋体" w:hAnsi="宋体" w:eastAsia="宋体" w:cs="宋体"/>
          <w:szCs w:val="21"/>
        </w:rPr>
      </w:pPr>
      <w:r>
        <w:rPr>
          <w:rFonts w:hint="eastAsia" w:ascii="宋体" w:hAnsi="宋体" w:eastAsia="宋体" w:cs="宋体"/>
          <w:b/>
        </w:rPr>
        <w:t>此处粘贴法定代表人身份证复印件</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十一.法人代表授权书（格式）</w:t>
      </w:r>
    </w:p>
    <w:p>
      <w:pPr>
        <w:adjustRightInd w:val="0"/>
        <w:snapToGrid w:val="0"/>
        <w:spacing w:line="490" w:lineRule="exact"/>
        <w:rPr>
          <w:rFonts w:ascii="宋体" w:hAnsi="宋体" w:eastAsia="宋体" w:cs="宋体"/>
          <w:szCs w:val="21"/>
        </w:rPr>
      </w:pPr>
    </w:p>
    <w:p>
      <w:pPr>
        <w:adjustRightInd w:val="0"/>
        <w:snapToGrid w:val="0"/>
        <w:spacing w:line="490" w:lineRule="exact"/>
        <w:rPr>
          <w:rFonts w:ascii="宋体" w:hAnsi="宋体" w:eastAsia="宋体" w:cs="宋体"/>
          <w:szCs w:val="21"/>
        </w:rPr>
      </w:pPr>
      <w:r>
        <w:rPr>
          <w:rFonts w:hint="eastAsia" w:ascii="宋体" w:hAnsi="宋体" w:eastAsia="宋体" w:cs="宋体"/>
          <w:szCs w:val="21"/>
        </w:rPr>
        <w:t>湖北国华招标咨询有限公司：</w:t>
      </w:r>
    </w:p>
    <w:p>
      <w:pPr>
        <w:adjustRightInd w:val="0"/>
        <w:snapToGrid w:val="0"/>
        <w:spacing w:line="490" w:lineRule="exact"/>
        <w:rPr>
          <w:rFonts w:ascii="宋体" w:hAnsi="宋体" w:eastAsia="宋体" w:cs="宋体"/>
          <w:szCs w:val="21"/>
        </w:rPr>
      </w:pPr>
    </w:p>
    <w:p>
      <w:pPr>
        <w:adjustRightInd w:val="0"/>
        <w:snapToGrid w:val="0"/>
        <w:spacing w:line="490" w:lineRule="exact"/>
        <w:ind w:firstLine="420" w:firstLineChars="200"/>
        <w:rPr>
          <w:rFonts w:ascii="宋体" w:hAnsi="宋体" w:eastAsia="宋体" w:cs="宋体"/>
          <w:szCs w:val="21"/>
        </w:rPr>
      </w:pPr>
      <w:r>
        <w:rPr>
          <w:rFonts w:hint="eastAsia" w:ascii="宋体" w:hAnsi="宋体" w:eastAsia="宋体" w:cs="宋体"/>
          <w:szCs w:val="21"/>
        </w:rPr>
        <w:t>兹授权</w:t>
      </w:r>
      <w:r>
        <w:rPr>
          <w:rFonts w:hint="eastAsia" w:ascii="宋体" w:hAnsi="宋体" w:eastAsia="宋体" w:cs="宋体"/>
          <w:szCs w:val="21"/>
          <w:u w:val="single"/>
        </w:rPr>
        <w:t xml:space="preserve">               </w:t>
      </w:r>
      <w:r>
        <w:rPr>
          <w:rFonts w:hint="eastAsia" w:ascii="宋体" w:hAnsi="宋体" w:eastAsia="宋体" w:cs="宋体"/>
          <w:szCs w:val="21"/>
        </w:rPr>
        <w:t>先生/女士作为本公司的合法代理人，以本公司名义参加贵方项目</w:t>
      </w:r>
      <w:r>
        <w:rPr>
          <w:rFonts w:hint="eastAsia" w:ascii="宋体" w:hAnsi="宋体" w:eastAsia="宋体" w:cs="宋体"/>
          <w:szCs w:val="21"/>
          <w:u w:val="single"/>
        </w:rPr>
        <w:t xml:space="preserve">                     </w:t>
      </w:r>
      <w:r>
        <w:rPr>
          <w:rFonts w:hint="eastAsia" w:ascii="宋体" w:hAnsi="宋体" w:eastAsia="宋体" w:cs="宋体"/>
          <w:szCs w:val="21"/>
        </w:rPr>
        <w:t>（项目名称、项目编号）的投标。</w:t>
      </w:r>
    </w:p>
    <w:p>
      <w:pPr>
        <w:adjustRightInd w:val="0"/>
        <w:snapToGrid w:val="0"/>
        <w:spacing w:line="490" w:lineRule="exact"/>
        <w:ind w:firstLine="420" w:firstLineChars="200"/>
        <w:rPr>
          <w:rFonts w:ascii="宋体" w:hAnsi="宋体" w:eastAsia="宋体" w:cs="宋体"/>
          <w:szCs w:val="21"/>
        </w:rPr>
      </w:pPr>
      <w:r>
        <w:rPr>
          <w:rFonts w:hint="eastAsia" w:ascii="宋体" w:hAnsi="宋体" w:eastAsia="宋体" w:cs="宋体"/>
          <w:szCs w:val="21"/>
        </w:rPr>
        <w:t>全权代表我单位参加投标、开标，负责合同的签订、执行、完成和保修，以及处理一切与之有关的事务。</w:t>
      </w:r>
    </w:p>
    <w:p>
      <w:pPr>
        <w:adjustRightInd w:val="0"/>
        <w:snapToGrid w:val="0"/>
        <w:spacing w:line="490" w:lineRule="exact"/>
        <w:ind w:firstLine="420" w:firstLineChars="200"/>
        <w:rPr>
          <w:rFonts w:ascii="宋体" w:hAnsi="宋体" w:eastAsia="宋体" w:cs="宋体"/>
          <w:szCs w:val="21"/>
        </w:rPr>
      </w:pPr>
      <w:r>
        <w:rPr>
          <w:rFonts w:hint="eastAsia" w:ascii="宋体" w:hAnsi="宋体" w:eastAsia="宋体" w:cs="宋体"/>
          <w:szCs w:val="21"/>
        </w:rPr>
        <w:t>本授权书自</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日有效。</w:t>
      </w:r>
    </w:p>
    <w:p>
      <w:pPr>
        <w:adjustRightInd w:val="0"/>
        <w:snapToGrid w:val="0"/>
        <w:spacing w:line="490" w:lineRule="exact"/>
        <w:rPr>
          <w:rFonts w:ascii="宋体" w:hAnsi="宋体" w:eastAsia="宋体" w:cs="宋体"/>
          <w:szCs w:val="21"/>
        </w:rPr>
      </w:pPr>
    </w:p>
    <w:p>
      <w:pPr>
        <w:adjustRightInd w:val="0"/>
        <w:snapToGrid w:val="0"/>
        <w:spacing w:line="490" w:lineRule="exact"/>
        <w:rPr>
          <w:rFonts w:ascii="宋体" w:hAnsi="宋体" w:eastAsia="宋体" w:cs="宋体"/>
          <w:szCs w:val="21"/>
        </w:rPr>
      </w:pPr>
    </w:p>
    <w:p>
      <w:pPr>
        <w:adjustRightInd w:val="0"/>
        <w:snapToGrid w:val="0"/>
        <w:spacing w:line="490" w:lineRule="exact"/>
        <w:rPr>
          <w:rFonts w:ascii="宋体" w:hAnsi="宋体" w:eastAsia="宋体" w:cs="宋体"/>
          <w:szCs w:val="21"/>
        </w:rPr>
      </w:pPr>
    </w:p>
    <w:p>
      <w:pPr>
        <w:adjustRightInd w:val="0"/>
        <w:snapToGrid w:val="0"/>
        <w:spacing w:line="490" w:lineRule="exact"/>
        <w:rPr>
          <w:rFonts w:ascii="宋体" w:hAnsi="宋体" w:eastAsia="宋体" w:cs="宋体"/>
          <w:szCs w:val="21"/>
        </w:rPr>
      </w:pPr>
    </w:p>
    <w:p>
      <w:pPr>
        <w:adjustRightInd w:val="0"/>
        <w:snapToGrid w:val="0"/>
        <w:spacing w:line="490" w:lineRule="exact"/>
        <w:rPr>
          <w:rFonts w:ascii="宋体" w:hAnsi="宋体" w:eastAsia="宋体" w:cs="宋体"/>
          <w:szCs w:val="21"/>
          <w:u w:val="single"/>
        </w:rPr>
      </w:pPr>
      <w:r>
        <w:rPr>
          <w:rFonts w:hint="eastAsia" w:ascii="宋体" w:hAnsi="宋体" w:eastAsia="宋体" w:cs="宋体"/>
          <w:szCs w:val="21"/>
        </w:rPr>
        <w:t xml:space="preserve">       委托人名称（公章）：                      受托人（签章）：</w:t>
      </w:r>
    </w:p>
    <w:p>
      <w:pPr>
        <w:adjustRightInd w:val="0"/>
        <w:snapToGrid w:val="0"/>
        <w:spacing w:line="490" w:lineRule="exact"/>
        <w:rPr>
          <w:rFonts w:ascii="宋体" w:hAnsi="宋体" w:eastAsia="宋体" w:cs="宋体"/>
          <w:szCs w:val="21"/>
          <w:u w:val="single"/>
        </w:rPr>
      </w:pPr>
      <w:r>
        <w:rPr>
          <w:rFonts w:hint="eastAsia" w:ascii="宋体" w:hAnsi="宋体" w:eastAsia="宋体" w:cs="宋体"/>
          <w:szCs w:val="21"/>
        </w:rPr>
        <w:t xml:space="preserve">       法定代表人（签章）：                      身 份 证 号码：</w:t>
      </w:r>
    </w:p>
    <w:p>
      <w:pPr>
        <w:adjustRightInd w:val="0"/>
        <w:snapToGrid w:val="0"/>
        <w:spacing w:line="490" w:lineRule="exact"/>
        <w:rPr>
          <w:rFonts w:ascii="宋体" w:hAnsi="宋体" w:eastAsia="宋体" w:cs="宋体"/>
          <w:szCs w:val="21"/>
          <w:u w:val="single"/>
        </w:rPr>
      </w:pPr>
      <w:r>
        <w:rPr>
          <w:rFonts w:hint="eastAsia" w:ascii="宋体" w:hAnsi="宋体" w:eastAsia="宋体" w:cs="宋体"/>
          <w:szCs w:val="21"/>
        </w:rPr>
        <w:t xml:space="preserve">       邮政编码：                               邮  政  编 码：</w:t>
      </w:r>
    </w:p>
    <w:p>
      <w:pPr>
        <w:adjustRightInd w:val="0"/>
        <w:snapToGrid w:val="0"/>
        <w:spacing w:line="490" w:lineRule="exact"/>
        <w:rPr>
          <w:rFonts w:ascii="宋体" w:hAnsi="宋体" w:eastAsia="宋体" w:cs="宋体"/>
          <w:szCs w:val="21"/>
          <w:u w:val="single"/>
        </w:rPr>
      </w:pPr>
      <w:r>
        <w:rPr>
          <w:rFonts w:hint="eastAsia" w:ascii="宋体" w:hAnsi="宋体" w:eastAsia="宋体" w:cs="宋体"/>
          <w:szCs w:val="21"/>
        </w:rPr>
        <w:t xml:space="preserve">       电    话：                               电         话：</w:t>
      </w:r>
    </w:p>
    <w:p>
      <w:pPr>
        <w:adjustRightInd w:val="0"/>
        <w:snapToGrid w:val="0"/>
        <w:spacing w:line="490" w:lineRule="exact"/>
        <w:rPr>
          <w:rFonts w:ascii="宋体" w:hAnsi="宋体" w:eastAsia="宋体" w:cs="宋体"/>
          <w:szCs w:val="21"/>
        </w:rPr>
      </w:pPr>
      <w:r>
        <w:rPr>
          <w:rFonts w:hint="eastAsia" w:ascii="宋体" w:hAnsi="宋体" w:eastAsia="宋体" w:cs="宋体"/>
          <w:szCs w:val="21"/>
        </w:rPr>
        <w:t xml:space="preserve">       传    真：                               传         真：</w:t>
      </w:r>
    </w:p>
    <w:p>
      <w:pPr>
        <w:adjustRightInd w:val="0"/>
        <w:snapToGrid w:val="0"/>
        <w:spacing w:line="490" w:lineRule="exact"/>
        <w:rPr>
          <w:rFonts w:ascii="宋体" w:hAnsi="宋体" w:eastAsia="宋体" w:cs="宋体"/>
          <w:szCs w:val="21"/>
        </w:rPr>
      </w:pPr>
    </w:p>
    <w:p>
      <w:pPr>
        <w:adjustRightInd w:val="0"/>
        <w:snapToGrid w:val="0"/>
        <w:spacing w:line="490" w:lineRule="exact"/>
        <w:jc w:val="center"/>
        <w:rPr>
          <w:rFonts w:ascii="宋体" w:hAnsi="宋体" w:eastAsia="宋体" w:cs="宋体"/>
          <w:b/>
          <w:sz w:val="24"/>
        </w:rPr>
      </w:pPr>
      <w:r>
        <w:rPr>
          <w:rFonts w:hint="eastAsia" w:ascii="宋体" w:hAnsi="宋体" w:eastAsia="宋体" w:cs="宋体"/>
          <w:b/>
          <w:sz w:val="24"/>
        </w:rPr>
        <w:t>身份证粘贴处：</w:t>
      </w:r>
    </w:p>
    <w:p>
      <w:pPr>
        <w:adjustRightInd w:val="0"/>
        <w:snapToGrid w:val="0"/>
        <w:jc w:val="center"/>
        <w:rPr>
          <w:rFonts w:ascii="宋体" w:hAnsi="宋体" w:eastAsia="宋体" w:cs="宋体"/>
          <w:b/>
          <w:szCs w:val="21"/>
        </w:rPr>
      </w:pPr>
    </w:p>
    <w:tbl>
      <w:tblPr>
        <w:tblStyle w:val="26"/>
        <w:tblW w:w="831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4" w:hRule="atLeast"/>
        </w:trPr>
        <w:tc>
          <w:tcPr>
            <w:tcW w:w="8310" w:type="dxa"/>
          </w:tcPr>
          <w:p>
            <w:pPr>
              <w:adjustRightInd w:val="0"/>
              <w:snapToGrid w:val="0"/>
              <w:spacing w:line="490" w:lineRule="exact"/>
              <w:rPr>
                <w:rFonts w:ascii="宋体" w:hAnsi="宋体" w:eastAsia="宋体" w:cs="宋体"/>
                <w:b/>
                <w:sz w:val="24"/>
              </w:rPr>
            </w:pPr>
          </w:p>
        </w:tc>
      </w:tr>
    </w:tbl>
    <w:p>
      <w:pPr>
        <w:adjustRightInd w:val="0"/>
        <w:snapToGrid w:val="0"/>
        <w:spacing w:line="490" w:lineRule="exact"/>
        <w:rPr>
          <w:rFonts w:ascii="宋体" w:hAnsi="宋体" w:eastAsia="宋体" w:cs="宋体"/>
          <w:b/>
          <w:sz w:val="24"/>
        </w:rPr>
      </w:pPr>
    </w:p>
    <w:p>
      <w:pPr>
        <w:adjustRightInd w:val="0"/>
        <w:snapToGrid w:val="0"/>
        <w:ind w:left="-88" w:leftChars="-42"/>
        <w:jc w:val="center"/>
        <w:outlineLvl w:val="0"/>
        <w:rPr>
          <w:rFonts w:ascii="宋体" w:hAnsi="宋体" w:eastAsia="宋体" w:cs="宋体"/>
          <w:b/>
          <w:sz w:val="24"/>
        </w:rPr>
      </w:pPr>
    </w:p>
    <w:p>
      <w:pPr>
        <w:adjustRightInd w:val="0"/>
        <w:snapToGrid w:val="0"/>
        <w:ind w:left="-88" w:leftChars="-42"/>
        <w:jc w:val="center"/>
        <w:outlineLvl w:val="0"/>
        <w:rPr>
          <w:rFonts w:ascii="宋体" w:hAnsi="宋体" w:eastAsia="宋体" w:cs="宋体"/>
          <w:b/>
          <w:sz w:val="24"/>
        </w:rPr>
      </w:pPr>
      <w:r>
        <w:rPr>
          <w:rStyle w:val="44"/>
          <w:rFonts w:hint="eastAsia" w:ascii="宋体" w:hAnsi="宋体" w:cs="宋体"/>
          <w:sz w:val="24"/>
          <w:szCs w:val="24"/>
        </w:rPr>
        <w:t>十二.投标货物技术文件</w:t>
      </w:r>
    </w:p>
    <w:p>
      <w:pPr>
        <w:adjustRightInd w:val="0"/>
        <w:snapToGrid w:val="0"/>
        <w:ind w:left="-88" w:leftChars="-42"/>
        <w:jc w:val="center"/>
        <w:outlineLvl w:val="0"/>
        <w:rPr>
          <w:rFonts w:ascii="宋体" w:hAnsi="宋体" w:eastAsia="宋体" w:cs="宋体"/>
          <w:szCs w:val="21"/>
        </w:rPr>
      </w:pPr>
    </w:p>
    <w:p>
      <w:pPr>
        <w:adjustRightInd w:val="0"/>
        <w:snapToGrid w:val="0"/>
        <w:spacing w:line="470" w:lineRule="exact"/>
        <w:outlineLvl w:val="0"/>
        <w:rPr>
          <w:rFonts w:ascii="宋体" w:hAnsi="宋体" w:eastAsia="宋体" w:cs="宋体"/>
          <w:szCs w:val="21"/>
        </w:rPr>
      </w:pPr>
    </w:p>
    <w:p>
      <w:pPr>
        <w:adjustRightInd w:val="0"/>
        <w:snapToGrid w:val="0"/>
        <w:spacing w:line="470" w:lineRule="exact"/>
        <w:ind w:left="-88" w:leftChars="-42" w:firstLine="210" w:firstLineChars="100"/>
        <w:outlineLvl w:val="0"/>
        <w:rPr>
          <w:rFonts w:ascii="宋体" w:hAnsi="宋体" w:eastAsia="宋体" w:cs="宋体"/>
          <w:b/>
          <w:bCs/>
          <w:szCs w:val="21"/>
        </w:rPr>
      </w:pPr>
      <w:r>
        <w:rPr>
          <w:rFonts w:hint="eastAsia" w:ascii="宋体" w:hAnsi="宋体" w:eastAsia="宋体" w:cs="宋体"/>
          <w:b/>
          <w:bCs/>
          <w:szCs w:val="21"/>
        </w:rPr>
        <w:t>一.投标货物介绍</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1.货物名称、型号、规格、数量、技术性能、特点。</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2.供货范围。</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3.货物制造、检验、验收执行的标准。</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4.质量保证措施。</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5.采用新技术、新工艺、新材料的情况。</w:t>
      </w:r>
    </w:p>
    <w:p>
      <w:pPr>
        <w:autoSpaceDE w:val="0"/>
        <w:autoSpaceDN w:val="0"/>
        <w:adjustRightInd w:val="0"/>
        <w:spacing w:line="470" w:lineRule="exact"/>
        <w:ind w:firstLine="210" w:firstLineChars="100"/>
        <w:jc w:val="left"/>
        <w:rPr>
          <w:rFonts w:ascii="宋体" w:hAnsi="宋体" w:eastAsia="宋体" w:cs="宋体"/>
          <w:b/>
          <w:bCs/>
          <w:kern w:val="0"/>
          <w:szCs w:val="21"/>
        </w:rPr>
      </w:pPr>
      <w:r>
        <w:rPr>
          <w:rFonts w:hint="eastAsia" w:ascii="宋体" w:hAnsi="宋体" w:eastAsia="宋体" w:cs="宋体"/>
          <w:b/>
          <w:bCs/>
          <w:kern w:val="0"/>
          <w:szCs w:val="21"/>
        </w:rPr>
        <w:t>二.主要技术资料</w:t>
      </w:r>
    </w:p>
    <w:p>
      <w:pPr>
        <w:numPr>
          <w:ilvl w:val="0"/>
          <w:numId w:val="58"/>
        </w:numPr>
        <w:tabs>
          <w:tab w:val="left" w:pos="1080"/>
          <w:tab w:val="left" w:pos="1808"/>
        </w:tabs>
        <w:autoSpaceDE w:val="0"/>
        <w:autoSpaceDN w:val="0"/>
        <w:adjustRightInd w:val="0"/>
        <w:spacing w:line="470" w:lineRule="exact"/>
        <w:rPr>
          <w:rFonts w:ascii="宋体" w:hAnsi="宋体" w:eastAsia="宋体" w:cs="宋体"/>
          <w:kern w:val="0"/>
          <w:szCs w:val="21"/>
        </w:rPr>
      </w:pPr>
      <w:r>
        <w:rPr>
          <w:rFonts w:hint="eastAsia" w:ascii="宋体" w:hAnsi="宋体" w:eastAsia="宋体" w:cs="宋体"/>
          <w:kern w:val="0"/>
          <w:szCs w:val="21"/>
        </w:rPr>
        <w:t>投标产品样本、使用保养说明书、图纸等技术资料。</w:t>
      </w:r>
    </w:p>
    <w:p>
      <w:pPr>
        <w:numPr>
          <w:ilvl w:val="0"/>
          <w:numId w:val="58"/>
        </w:numPr>
        <w:tabs>
          <w:tab w:val="left" w:pos="1080"/>
          <w:tab w:val="left" w:pos="1808"/>
        </w:tabs>
        <w:autoSpaceDE w:val="0"/>
        <w:autoSpaceDN w:val="0"/>
        <w:adjustRightInd w:val="0"/>
        <w:spacing w:line="470" w:lineRule="exact"/>
        <w:rPr>
          <w:rFonts w:ascii="宋体" w:hAnsi="宋体" w:eastAsia="宋体" w:cs="宋体"/>
          <w:kern w:val="0"/>
          <w:szCs w:val="21"/>
        </w:rPr>
      </w:pPr>
      <w:r>
        <w:rPr>
          <w:rFonts w:hint="eastAsia" w:ascii="宋体" w:hAnsi="宋体" w:eastAsia="宋体" w:cs="宋体"/>
          <w:kern w:val="0"/>
          <w:szCs w:val="21"/>
        </w:rPr>
        <w:t>生产投标货物或类似货物的业绩（规格、数量、主要用户、用户使用情况反映等）。</w:t>
      </w:r>
    </w:p>
    <w:p>
      <w:pPr>
        <w:autoSpaceDE w:val="0"/>
        <w:autoSpaceDN w:val="0"/>
        <w:adjustRightInd w:val="0"/>
        <w:spacing w:line="470" w:lineRule="exact"/>
        <w:ind w:firstLine="210" w:firstLineChars="100"/>
        <w:jc w:val="left"/>
        <w:rPr>
          <w:rFonts w:ascii="宋体" w:hAnsi="宋体" w:eastAsia="宋体" w:cs="宋体"/>
          <w:b/>
          <w:bCs/>
          <w:kern w:val="0"/>
          <w:szCs w:val="21"/>
        </w:rPr>
      </w:pPr>
      <w:r>
        <w:rPr>
          <w:rFonts w:hint="eastAsia" w:ascii="宋体" w:hAnsi="宋体" w:eastAsia="宋体" w:cs="宋体"/>
          <w:b/>
          <w:bCs/>
          <w:kern w:val="0"/>
          <w:szCs w:val="21"/>
        </w:rPr>
        <w:t>三.其他内容</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1. 保证工期的措施（必要时提供生产计划周期表）。</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2. 人员培训计划及方案。</w:t>
      </w:r>
    </w:p>
    <w:p>
      <w:pPr>
        <w:autoSpaceDE w:val="0"/>
        <w:autoSpaceDN w:val="0"/>
        <w:adjustRightInd w:val="0"/>
        <w:spacing w:line="470" w:lineRule="exact"/>
        <w:ind w:firstLine="539" w:firstLineChars="257"/>
        <w:jc w:val="left"/>
        <w:rPr>
          <w:rFonts w:ascii="宋体" w:hAnsi="宋体" w:eastAsia="宋体" w:cs="宋体"/>
          <w:kern w:val="0"/>
          <w:szCs w:val="21"/>
        </w:rPr>
      </w:pPr>
      <w:r>
        <w:rPr>
          <w:rFonts w:hint="eastAsia" w:ascii="宋体" w:hAnsi="宋体" w:eastAsia="宋体" w:cs="宋体"/>
          <w:kern w:val="0"/>
          <w:szCs w:val="21"/>
        </w:rPr>
        <w:t>3. 售前、售后服务内容(对有偿、无偿应分别列出)，售后服务网点情况。</w:t>
      </w:r>
    </w:p>
    <w:p>
      <w:pPr>
        <w:autoSpaceDE w:val="0"/>
        <w:autoSpaceDN w:val="0"/>
        <w:adjustRightInd w:val="0"/>
        <w:spacing w:line="470" w:lineRule="exact"/>
        <w:ind w:left="825" w:leftChars="193" w:hanging="420" w:hangingChars="200"/>
        <w:jc w:val="left"/>
        <w:rPr>
          <w:rFonts w:ascii="宋体" w:hAnsi="宋体" w:eastAsia="宋体" w:cs="宋体"/>
          <w:kern w:val="0"/>
          <w:szCs w:val="21"/>
        </w:rPr>
      </w:pPr>
      <w:r>
        <w:rPr>
          <w:rFonts w:hint="eastAsia" w:ascii="宋体" w:hAnsi="宋体" w:eastAsia="宋体" w:cs="宋体"/>
          <w:kern w:val="0"/>
          <w:szCs w:val="21"/>
        </w:rPr>
        <w:t xml:space="preserve">4. </w:t>
      </w:r>
      <w:r>
        <w:rPr>
          <w:rFonts w:hint="eastAsia" w:ascii="宋体" w:hAnsi="宋体" w:eastAsia="宋体" w:cs="宋体"/>
          <w:szCs w:val="21"/>
        </w:rPr>
        <w:t>保证货物正常和连续运转期间所需要的所有的备件和专用工具的详细清单，包括其价格和供货来源等资料。</w:t>
      </w:r>
    </w:p>
    <w:p>
      <w:pPr>
        <w:autoSpaceDE w:val="0"/>
        <w:autoSpaceDN w:val="0"/>
        <w:adjustRightInd w:val="0"/>
        <w:spacing w:line="470" w:lineRule="exact"/>
        <w:ind w:left="825" w:leftChars="193" w:hanging="420" w:hangingChars="200"/>
        <w:jc w:val="left"/>
        <w:rPr>
          <w:rFonts w:ascii="宋体" w:hAnsi="宋体" w:eastAsia="宋体" w:cs="宋体"/>
          <w:szCs w:val="21"/>
        </w:rPr>
      </w:pPr>
      <w:r>
        <w:rPr>
          <w:rFonts w:hint="eastAsia" w:ascii="宋体" w:hAnsi="宋体" w:eastAsia="宋体" w:cs="宋体"/>
          <w:szCs w:val="21"/>
        </w:rPr>
        <w:t>5. 技术、商务偏离表等。</w:t>
      </w: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utoSpaceDE w:val="0"/>
        <w:autoSpaceDN w:val="0"/>
        <w:adjustRightInd w:val="0"/>
        <w:spacing w:line="620" w:lineRule="exact"/>
        <w:jc w:val="left"/>
        <w:rPr>
          <w:rFonts w:ascii="宋体" w:hAnsi="宋体" w:eastAsia="宋体" w:cs="宋体"/>
          <w:szCs w:val="21"/>
        </w:rPr>
      </w:pPr>
    </w:p>
    <w:p>
      <w:pPr>
        <w:autoSpaceDE w:val="0"/>
        <w:autoSpaceDN w:val="0"/>
        <w:adjustRightInd w:val="0"/>
        <w:spacing w:line="620" w:lineRule="exact"/>
        <w:ind w:left="825" w:leftChars="193" w:hanging="420" w:hangingChars="200"/>
        <w:jc w:val="left"/>
        <w:rPr>
          <w:rFonts w:ascii="宋体" w:hAnsi="宋体" w:eastAsia="宋体" w:cs="宋体"/>
          <w:szCs w:val="21"/>
        </w:rPr>
      </w:pPr>
    </w:p>
    <w:p>
      <w:pPr>
        <w:adjustRightInd w:val="0"/>
        <w:snapToGrid w:val="0"/>
        <w:ind w:left="-88" w:leftChars="-42"/>
        <w:jc w:val="center"/>
        <w:outlineLvl w:val="0"/>
        <w:rPr>
          <w:rFonts w:ascii="宋体" w:hAnsi="宋体" w:eastAsia="宋体" w:cs="宋体"/>
          <w:b/>
          <w:sz w:val="24"/>
        </w:rPr>
      </w:pPr>
      <w:r>
        <w:rPr>
          <w:rFonts w:hint="eastAsia" w:ascii="宋体" w:hAnsi="宋体" w:eastAsia="宋体" w:cs="宋体"/>
          <w:b/>
          <w:sz w:val="24"/>
        </w:rPr>
        <w:br w:type="page"/>
      </w:r>
      <w:r>
        <w:rPr>
          <w:rStyle w:val="44"/>
          <w:rFonts w:hint="eastAsia" w:ascii="宋体" w:hAnsi="宋体" w:cs="宋体"/>
          <w:sz w:val="24"/>
          <w:szCs w:val="24"/>
        </w:rPr>
        <w:t>十三</w:t>
      </w:r>
      <w:bookmarkStart w:id="86" w:name="_Toc421702738"/>
      <w:r>
        <w:rPr>
          <w:rStyle w:val="44"/>
          <w:rFonts w:hint="eastAsia" w:ascii="宋体" w:hAnsi="宋体" w:cs="宋体"/>
          <w:sz w:val="24"/>
          <w:szCs w:val="24"/>
        </w:rPr>
        <w:t>.技术偏离表</w:t>
      </w:r>
      <w:bookmarkEnd w:id="86"/>
    </w:p>
    <w:p>
      <w:pPr>
        <w:adjustRightInd w:val="0"/>
        <w:snapToGrid w:val="0"/>
        <w:ind w:left="-88" w:leftChars="-42"/>
        <w:jc w:val="center"/>
        <w:outlineLvl w:val="0"/>
        <w:rPr>
          <w:rFonts w:ascii="宋体" w:hAnsi="宋体" w:eastAsia="宋体" w:cs="宋体"/>
          <w:szCs w:val="21"/>
        </w:rPr>
      </w:pPr>
    </w:p>
    <w:p>
      <w:pPr>
        <w:snapToGrid w:val="0"/>
        <w:spacing w:line="360" w:lineRule="auto"/>
        <w:rPr>
          <w:rFonts w:ascii="宋体" w:hAnsi="宋体" w:eastAsia="宋体" w:cs="宋体"/>
          <w:szCs w:val="21"/>
        </w:rPr>
      </w:pPr>
      <w:r>
        <w:rPr>
          <w:rFonts w:hint="eastAsia" w:ascii="宋体" w:hAnsi="宋体" w:eastAsia="宋体" w:cs="宋体"/>
          <w:szCs w:val="21"/>
        </w:rPr>
        <w:t>供应商名称（签章）：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line="360" w:lineRule="auto"/>
        <w:rPr>
          <w:rFonts w:ascii="宋体" w:hAnsi="宋体" w:eastAsia="宋体" w:cs="宋体"/>
          <w:szCs w:val="21"/>
          <w:u w:val="single"/>
        </w:rPr>
      </w:pPr>
      <w:r>
        <w:rPr>
          <w:rFonts w:hint="eastAsia" w:ascii="宋体" w:hAnsi="宋体" w:eastAsia="宋体" w:cs="宋体"/>
          <w:szCs w:val="21"/>
        </w:rPr>
        <w:t>项目编号：</w:t>
      </w:r>
      <w:r>
        <w:rPr>
          <w:rFonts w:hint="eastAsia" w:ascii="宋体" w:hAnsi="宋体" w:eastAsia="宋体" w:cs="宋体"/>
          <w:szCs w:val="21"/>
          <w:u w:val="single"/>
        </w:rPr>
        <w:t xml:space="preserve">                         </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2254"/>
        <w:gridCol w:w="135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序号</w:t>
            </w:r>
          </w:p>
        </w:tc>
        <w:tc>
          <w:tcPr>
            <w:tcW w:w="2755"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lang w:val="zh-CN"/>
              </w:rPr>
              <w:t>招标文件条目号</w:t>
            </w:r>
          </w:p>
        </w:tc>
        <w:tc>
          <w:tcPr>
            <w:tcW w:w="2254"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招标文件要求</w:t>
            </w:r>
          </w:p>
        </w:tc>
        <w:tc>
          <w:tcPr>
            <w:tcW w:w="1356"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投标规格</w:t>
            </w:r>
          </w:p>
        </w:tc>
        <w:tc>
          <w:tcPr>
            <w:tcW w:w="1776" w:type="dxa"/>
            <w:vAlign w:val="center"/>
          </w:tcPr>
          <w:p>
            <w:pPr>
              <w:adjustRightInd w:val="0"/>
              <w:snapToGrid w:val="0"/>
              <w:spacing w:line="360" w:lineRule="auto"/>
              <w:jc w:val="center"/>
              <w:rPr>
                <w:rFonts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9" w:type="dxa"/>
          </w:tcPr>
          <w:p>
            <w:pPr>
              <w:adjustRightInd w:val="0"/>
              <w:snapToGrid w:val="0"/>
              <w:spacing w:line="360" w:lineRule="auto"/>
              <w:jc w:val="center"/>
              <w:rPr>
                <w:rFonts w:ascii="宋体" w:hAnsi="宋体" w:eastAsia="宋体" w:cs="宋体"/>
                <w:b/>
                <w:bCs/>
                <w:szCs w:val="21"/>
              </w:rPr>
            </w:pPr>
          </w:p>
        </w:tc>
        <w:tc>
          <w:tcPr>
            <w:tcW w:w="2755" w:type="dxa"/>
          </w:tcPr>
          <w:p>
            <w:pPr>
              <w:adjustRightInd w:val="0"/>
              <w:snapToGrid w:val="0"/>
              <w:spacing w:line="360" w:lineRule="auto"/>
              <w:jc w:val="center"/>
              <w:rPr>
                <w:rFonts w:ascii="宋体" w:hAnsi="宋体" w:eastAsia="宋体" w:cs="宋体"/>
                <w:b/>
                <w:bCs/>
                <w:szCs w:val="21"/>
              </w:rPr>
            </w:pPr>
          </w:p>
        </w:tc>
        <w:tc>
          <w:tcPr>
            <w:tcW w:w="2254" w:type="dxa"/>
          </w:tcPr>
          <w:p>
            <w:pPr>
              <w:adjustRightInd w:val="0"/>
              <w:snapToGrid w:val="0"/>
              <w:spacing w:line="360" w:lineRule="auto"/>
              <w:jc w:val="center"/>
              <w:rPr>
                <w:rFonts w:ascii="宋体" w:hAnsi="宋体" w:eastAsia="宋体" w:cs="宋体"/>
                <w:b/>
                <w:bCs/>
                <w:szCs w:val="21"/>
              </w:rPr>
            </w:pPr>
          </w:p>
        </w:tc>
        <w:tc>
          <w:tcPr>
            <w:tcW w:w="1356" w:type="dxa"/>
          </w:tcPr>
          <w:p>
            <w:pPr>
              <w:adjustRightInd w:val="0"/>
              <w:snapToGrid w:val="0"/>
              <w:spacing w:line="360" w:lineRule="auto"/>
              <w:jc w:val="center"/>
              <w:rPr>
                <w:rFonts w:ascii="宋体" w:hAnsi="宋体" w:eastAsia="宋体" w:cs="宋体"/>
                <w:b/>
                <w:bCs/>
                <w:szCs w:val="21"/>
              </w:rPr>
            </w:pPr>
          </w:p>
        </w:tc>
        <w:tc>
          <w:tcPr>
            <w:tcW w:w="1776" w:type="dxa"/>
          </w:tcPr>
          <w:p>
            <w:pPr>
              <w:adjustRightInd w:val="0"/>
              <w:snapToGrid w:val="0"/>
              <w:spacing w:line="360" w:lineRule="auto"/>
              <w:jc w:val="center"/>
              <w:rPr>
                <w:rFonts w:ascii="宋体" w:hAnsi="宋体" w:eastAsia="宋体" w:cs="宋体"/>
                <w:b/>
                <w:bCs/>
                <w:szCs w:val="21"/>
              </w:rPr>
            </w:pPr>
          </w:p>
        </w:tc>
      </w:tr>
    </w:tbl>
    <w:p>
      <w:pPr>
        <w:numPr>
          <w:ilvl w:val="0"/>
          <w:numId w:val="59"/>
        </w:numPr>
        <w:tabs>
          <w:tab w:val="left" w:pos="360"/>
          <w:tab w:val="clear" w:pos="1305"/>
        </w:tabs>
        <w:spacing w:line="360" w:lineRule="auto"/>
        <w:ind w:left="360"/>
        <w:rPr>
          <w:rFonts w:ascii="宋体" w:hAnsi="宋体" w:eastAsia="宋体" w:cs="宋体"/>
          <w:szCs w:val="21"/>
        </w:rPr>
      </w:pPr>
      <w:r>
        <w:rPr>
          <w:rFonts w:hint="eastAsia" w:ascii="宋体" w:hAnsi="宋体" w:eastAsia="宋体" w:cs="宋体"/>
          <w:szCs w:val="21"/>
        </w:rPr>
        <w:t>供应商应对基本要求，提出遵守声明。</w:t>
      </w:r>
    </w:p>
    <w:p>
      <w:pPr>
        <w:snapToGrid w:val="0"/>
        <w:spacing w:line="360" w:lineRule="auto"/>
        <w:rPr>
          <w:rFonts w:ascii="宋体" w:hAnsi="宋体" w:eastAsia="宋体" w:cs="宋体"/>
          <w:szCs w:val="21"/>
        </w:rPr>
      </w:pPr>
      <w:r>
        <w:rPr>
          <w:rFonts w:hint="eastAsia" w:ascii="宋体" w:hAnsi="宋体" w:eastAsia="宋体" w:cs="宋体"/>
          <w:szCs w:val="21"/>
        </w:rPr>
        <w:t>供应商必须将所投服务内容与招标文件要求的服务内容逐条每项做对比说明，如供应商只填写偏离或响应字样，采购人以未实质性响应招标文件要求作无效投标响应处理。</w:t>
      </w:r>
      <w:r>
        <w:rPr>
          <w:rFonts w:hint="eastAsia" w:ascii="宋体" w:hAnsi="宋体" w:eastAsia="宋体" w:cs="宋体"/>
          <w:szCs w:val="21"/>
          <w:lang w:val="zh-CN"/>
        </w:rPr>
        <w:t>（招标文件第三章“采购项目要求”的内容）</w:t>
      </w:r>
    </w:p>
    <w:p>
      <w:pPr>
        <w:adjustRightInd w:val="0"/>
        <w:snapToGrid w:val="0"/>
        <w:spacing w:line="360" w:lineRule="auto"/>
        <w:rPr>
          <w:rFonts w:ascii="宋体" w:hAnsi="宋体" w:eastAsia="宋体" w:cs="宋体"/>
          <w:b/>
          <w:bCs/>
          <w:szCs w:val="21"/>
        </w:rPr>
      </w:pPr>
    </w:p>
    <w:p>
      <w:pPr>
        <w:adjustRightInd w:val="0"/>
        <w:snapToGrid w:val="0"/>
        <w:spacing w:line="360" w:lineRule="auto"/>
        <w:rPr>
          <w:rFonts w:ascii="宋体" w:hAnsi="宋体" w:eastAsia="宋体" w:cs="宋体"/>
          <w:b/>
          <w:bCs/>
          <w:szCs w:val="21"/>
        </w:rPr>
      </w:pPr>
    </w:p>
    <w:p>
      <w:pPr>
        <w:spacing w:line="360" w:lineRule="auto"/>
        <w:rPr>
          <w:rFonts w:ascii="宋体" w:hAnsi="宋体" w:eastAsia="宋体" w:cs="宋体"/>
          <w:szCs w:val="21"/>
        </w:rPr>
      </w:pPr>
      <w:r>
        <w:rPr>
          <w:rFonts w:hint="eastAsia" w:ascii="宋体" w:hAnsi="宋体" w:eastAsia="宋体" w:cs="宋体"/>
          <w:szCs w:val="21"/>
        </w:rPr>
        <w:t>供应商(盖章):</w:t>
      </w:r>
    </w:p>
    <w:p>
      <w:pPr>
        <w:pStyle w:val="11"/>
        <w:adjustRightInd w:val="0"/>
        <w:snapToGrid w:val="0"/>
        <w:spacing w:line="470" w:lineRule="exact"/>
        <w:rPr>
          <w:rFonts w:hAnsi="宋体" w:eastAsia="宋体" w:cs="宋体"/>
        </w:rPr>
      </w:pPr>
      <w:r>
        <w:rPr>
          <w:rFonts w:hint="eastAsia" w:hAnsi="宋体" w:eastAsia="宋体" w:cs="宋体"/>
        </w:rPr>
        <w:t xml:space="preserve">法定代表人或其委托代理人(签字)：                           </w:t>
      </w:r>
    </w:p>
    <w:p>
      <w:pPr>
        <w:pStyle w:val="11"/>
        <w:adjustRightInd w:val="0"/>
        <w:snapToGrid w:val="0"/>
        <w:spacing w:line="470" w:lineRule="exact"/>
        <w:rPr>
          <w:rFonts w:hAnsi="宋体" w:eastAsia="宋体" w:cs="宋体"/>
        </w:rPr>
      </w:pPr>
      <w:r>
        <w:rPr>
          <w:rFonts w:hint="eastAsia" w:hAnsi="宋体" w:eastAsia="宋体" w:cs="宋体"/>
        </w:rPr>
        <w:t>日期：</w:t>
      </w:r>
    </w:p>
    <w:p>
      <w:pPr>
        <w:adjustRightInd w:val="0"/>
        <w:snapToGrid w:val="0"/>
        <w:spacing w:line="360" w:lineRule="auto"/>
        <w:jc w:val="center"/>
        <w:rPr>
          <w:rFonts w:ascii="宋体" w:hAnsi="宋体" w:eastAsia="宋体" w:cs="宋体"/>
          <w:b/>
          <w:sz w:val="24"/>
        </w:rPr>
      </w:pPr>
      <w:r>
        <w:rPr>
          <w:rFonts w:hint="eastAsia" w:ascii="宋体" w:hAnsi="宋体" w:eastAsia="宋体" w:cs="宋体"/>
          <w:szCs w:val="21"/>
        </w:rPr>
        <w:br w:type="page"/>
      </w:r>
      <w:r>
        <w:rPr>
          <w:rStyle w:val="44"/>
          <w:rFonts w:hint="eastAsia" w:ascii="宋体" w:hAnsi="宋体" w:cs="宋体"/>
          <w:sz w:val="24"/>
          <w:szCs w:val="24"/>
        </w:rPr>
        <w:t>十四. 商务规格响应、偏离表</w:t>
      </w:r>
    </w:p>
    <w:p>
      <w:pPr>
        <w:adjustRightInd w:val="0"/>
        <w:snapToGrid w:val="0"/>
        <w:spacing w:line="360" w:lineRule="auto"/>
        <w:rPr>
          <w:rFonts w:ascii="宋体" w:hAnsi="宋体" w:eastAsia="宋体" w:cs="宋体"/>
          <w:szCs w:val="21"/>
        </w:rPr>
      </w:pPr>
    </w:p>
    <w:p>
      <w:pPr>
        <w:snapToGrid w:val="0"/>
        <w:spacing w:line="360" w:lineRule="auto"/>
        <w:rPr>
          <w:rFonts w:ascii="宋体" w:hAnsi="宋体" w:eastAsia="宋体" w:cs="宋体"/>
          <w:szCs w:val="21"/>
        </w:rPr>
      </w:pPr>
      <w:r>
        <w:rPr>
          <w:rFonts w:hint="eastAsia" w:ascii="宋体" w:hAnsi="宋体" w:eastAsia="宋体" w:cs="宋体"/>
          <w:szCs w:val="21"/>
        </w:rPr>
        <w:t>供应商名称（签章）：</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napToGrid w:val="0"/>
        <w:spacing w:line="360" w:lineRule="auto"/>
        <w:rPr>
          <w:rFonts w:ascii="宋体" w:hAnsi="宋体" w:eastAsia="宋体" w:cs="宋体"/>
          <w:szCs w:val="21"/>
        </w:rPr>
      </w:pP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 xml:space="preserve"> </w:t>
      </w:r>
    </w:p>
    <w:tbl>
      <w:tblPr>
        <w:tblStyle w:val="26"/>
        <w:tblW w:w="9242" w:type="dxa"/>
        <w:tblInd w:w="1" w:type="dxa"/>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2"/>
        <w:gridCol w:w="1995"/>
        <w:gridCol w:w="2520"/>
        <w:gridCol w:w="2625"/>
        <w:gridCol w:w="1260"/>
      </w:tblGrid>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lang w:val="zh-CN"/>
              </w:rPr>
              <w:t>序号</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lang w:val="zh-CN"/>
              </w:rPr>
              <w:t>招标文件条目号</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lang w:val="zh-CN"/>
              </w:rPr>
              <w:t>招标文件的商务条款</w:t>
            </w:r>
          </w:p>
        </w:tc>
        <w:tc>
          <w:tcPr>
            <w:tcW w:w="262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lang w:val="zh-CN"/>
              </w:rPr>
              <w:t>投标文件的商务条款</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lang w:val="zh-CN"/>
              </w:rPr>
              <w:t>说明</w:t>
            </w:r>
          </w:p>
        </w:tc>
      </w:tr>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rPr>
              <w:t>1</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r>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rPr>
              <w:t>2</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r>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rPr>
              <w:t>3</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r>
      <w:tr>
        <w:tblPrEx>
          <w:tblBorders>
            <w:top w:val="single" w:color="auto" w:sz="4" w:space="0"/>
            <w:left w:val="none" w:color="auto" w:sz="0"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84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r>
              <w:rPr>
                <w:rFonts w:hint="eastAsia" w:ascii="宋体" w:hAnsi="宋体" w:eastAsia="宋体" w:cs="宋体"/>
                <w:szCs w:val="21"/>
              </w:rPr>
              <w:t>·</w:t>
            </w:r>
          </w:p>
        </w:tc>
        <w:tc>
          <w:tcPr>
            <w:tcW w:w="199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宋体" w:hAnsi="宋体" w:eastAsia="宋体" w:cs="宋体"/>
                <w:szCs w:val="21"/>
              </w:rPr>
            </w:pPr>
          </w:p>
        </w:tc>
      </w:tr>
    </w:tbl>
    <w:p>
      <w:pPr>
        <w:snapToGrid w:val="0"/>
        <w:spacing w:line="360" w:lineRule="auto"/>
        <w:rPr>
          <w:rFonts w:ascii="宋体" w:hAnsi="宋体" w:eastAsia="宋体" w:cs="宋体"/>
          <w:szCs w:val="21"/>
          <w:u w:val="single"/>
          <w:lang w:val="zh-CN"/>
        </w:rPr>
      </w:pPr>
    </w:p>
    <w:p>
      <w:pPr>
        <w:snapToGrid w:val="0"/>
        <w:spacing w:line="360" w:lineRule="auto"/>
        <w:rPr>
          <w:rFonts w:ascii="宋体" w:hAnsi="宋体" w:eastAsia="宋体" w:cs="宋体"/>
          <w:szCs w:val="21"/>
          <w:u w:val="single"/>
          <w:lang w:val="zh-CN"/>
        </w:rPr>
      </w:pPr>
      <w:r>
        <w:rPr>
          <w:rFonts w:hint="eastAsia" w:ascii="宋体" w:hAnsi="宋体" w:eastAsia="宋体" w:cs="宋体"/>
          <w:szCs w:val="21"/>
          <w:u w:val="single"/>
          <w:lang w:val="zh-CN"/>
        </w:rPr>
        <w:t>注：供应商递交的投标文件中与招标文件的商务部分的要求有不同时，应逐条列在商务偏离表中，否则将认为供应商接受招标文件的要求。</w:t>
      </w:r>
    </w:p>
    <w:p>
      <w:pPr>
        <w:snapToGrid w:val="0"/>
        <w:spacing w:line="360" w:lineRule="auto"/>
        <w:rPr>
          <w:rFonts w:ascii="宋体" w:hAnsi="宋体" w:eastAsia="宋体" w:cs="宋体"/>
          <w:szCs w:val="21"/>
          <w:u w:val="single"/>
          <w:lang w:val="zh-CN"/>
        </w:rPr>
      </w:pPr>
    </w:p>
    <w:p>
      <w:pPr>
        <w:snapToGrid w:val="0"/>
        <w:spacing w:line="360" w:lineRule="auto"/>
        <w:rPr>
          <w:rFonts w:ascii="宋体" w:hAnsi="宋体" w:eastAsia="宋体" w:cs="宋体"/>
          <w:szCs w:val="21"/>
          <w:u w:val="single"/>
          <w:lang w:val="zh-CN"/>
        </w:rPr>
      </w:pPr>
    </w:p>
    <w:p>
      <w:pPr>
        <w:snapToGrid w:val="0"/>
        <w:spacing w:line="360" w:lineRule="auto"/>
        <w:ind w:left="-88" w:leftChars="-42"/>
        <w:rPr>
          <w:rFonts w:ascii="宋体" w:hAnsi="宋体" w:eastAsia="宋体" w:cs="宋体"/>
          <w:szCs w:val="21"/>
        </w:rPr>
      </w:pPr>
      <w:r>
        <w:rPr>
          <w:rFonts w:hint="eastAsia" w:ascii="宋体" w:hAnsi="宋体" w:eastAsia="宋体" w:cs="宋体"/>
          <w:szCs w:val="21"/>
        </w:rPr>
        <w:t>供应商(盖章):</w:t>
      </w:r>
    </w:p>
    <w:p>
      <w:pPr>
        <w:snapToGrid w:val="0"/>
        <w:spacing w:line="360" w:lineRule="auto"/>
        <w:ind w:left="-88" w:leftChars="-42"/>
        <w:rPr>
          <w:rFonts w:ascii="宋体" w:hAnsi="宋体" w:eastAsia="宋体" w:cs="宋体"/>
          <w:szCs w:val="21"/>
        </w:rPr>
      </w:pPr>
      <w:r>
        <w:rPr>
          <w:rFonts w:hint="eastAsia" w:ascii="宋体" w:hAnsi="宋体" w:eastAsia="宋体" w:cs="宋体"/>
          <w:szCs w:val="21"/>
        </w:rPr>
        <w:t xml:space="preserve">法定代表人或其委托代理人(签字)：                          </w:t>
      </w:r>
    </w:p>
    <w:p>
      <w:pPr>
        <w:snapToGrid w:val="0"/>
        <w:spacing w:line="360" w:lineRule="auto"/>
        <w:ind w:left="-88" w:leftChars="-42"/>
        <w:rPr>
          <w:rFonts w:ascii="宋体" w:hAnsi="宋体" w:eastAsia="宋体" w:cs="宋体"/>
          <w:szCs w:val="21"/>
        </w:rPr>
      </w:pPr>
      <w:r>
        <w:rPr>
          <w:rFonts w:hint="eastAsia" w:ascii="宋体" w:hAnsi="宋体" w:eastAsia="宋体" w:cs="宋体"/>
          <w:szCs w:val="21"/>
        </w:rPr>
        <w:t>日期：</w:t>
      </w: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pStyle w:val="3"/>
        <w:jc w:val="center"/>
        <w:rPr>
          <w:rFonts w:ascii="宋体" w:hAnsi="宋体" w:eastAsia="宋体" w:cs="宋体"/>
        </w:rPr>
      </w:pPr>
      <w:r>
        <w:rPr>
          <w:rFonts w:hint="eastAsia" w:ascii="宋体" w:hAnsi="宋体" w:eastAsia="宋体" w:cs="宋体"/>
        </w:rPr>
        <w:t>十五.制造厂家授权书（格式）</w:t>
      </w:r>
    </w:p>
    <w:p>
      <w:pPr>
        <w:adjustRightInd w:val="0"/>
        <w:snapToGrid w:val="0"/>
        <w:spacing w:line="450" w:lineRule="exact"/>
        <w:jc w:val="center"/>
        <w:rPr>
          <w:rFonts w:ascii="宋体" w:hAnsi="宋体" w:eastAsia="宋体" w:cs="宋体"/>
          <w:b/>
          <w:szCs w:val="21"/>
        </w:rPr>
      </w:pPr>
      <w:r>
        <w:rPr>
          <w:rFonts w:hint="eastAsia" w:ascii="宋体" w:hAnsi="宋体" w:eastAsia="宋体" w:cs="宋体"/>
          <w:szCs w:val="21"/>
        </w:rPr>
        <w:t>（如需要）</w:t>
      </w:r>
    </w:p>
    <w:p>
      <w:pPr>
        <w:adjustRightInd w:val="0"/>
        <w:snapToGrid w:val="0"/>
        <w:spacing w:line="450" w:lineRule="exact"/>
        <w:rPr>
          <w:rFonts w:ascii="宋体" w:hAnsi="宋体" w:eastAsia="宋体" w:cs="宋体"/>
          <w:b/>
          <w:szCs w:val="21"/>
        </w:rPr>
      </w:pPr>
    </w:p>
    <w:p>
      <w:pPr>
        <w:pStyle w:val="11"/>
        <w:widowControl/>
        <w:adjustRightInd w:val="0"/>
        <w:snapToGrid w:val="0"/>
        <w:spacing w:line="500" w:lineRule="exact"/>
        <w:jc w:val="left"/>
        <w:rPr>
          <w:rFonts w:hAnsi="宋体" w:eastAsia="宋体" w:cs="宋体"/>
          <w:b/>
          <w:bCs/>
        </w:rPr>
      </w:pPr>
      <w:r>
        <w:rPr>
          <w:rFonts w:hint="eastAsia" w:hAnsi="宋体" w:eastAsia="宋体" w:cs="宋体"/>
          <w:b/>
          <w:bCs/>
        </w:rPr>
        <w:t>湖北国华招标咨询有限公司：</w:t>
      </w:r>
    </w:p>
    <w:p>
      <w:pPr>
        <w:widowControl/>
        <w:snapToGrid w:val="0"/>
        <w:spacing w:line="500" w:lineRule="exact"/>
        <w:ind w:firstLine="709"/>
        <w:jc w:val="left"/>
        <w:rPr>
          <w:rFonts w:ascii="宋体" w:hAnsi="宋体" w:eastAsia="宋体" w:cs="宋体"/>
          <w:szCs w:val="21"/>
        </w:rPr>
      </w:pPr>
      <w:r>
        <w:rPr>
          <w:rFonts w:hint="eastAsia" w:ascii="宋体" w:hAnsi="宋体" w:eastAsia="宋体" w:cs="宋体"/>
          <w:szCs w:val="21"/>
        </w:rPr>
        <w:t>我们</w:t>
      </w:r>
      <w:r>
        <w:rPr>
          <w:rFonts w:hint="eastAsia" w:ascii="宋体" w:hAnsi="宋体" w:eastAsia="宋体" w:cs="宋体"/>
          <w:szCs w:val="21"/>
          <w:u w:val="single"/>
        </w:rPr>
        <w:t xml:space="preserve">           </w:t>
      </w:r>
      <w:r>
        <w:rPr>
          <w:rFonts w:hint="eastAsia" w:ascii="宋体" w:hAnsi="宋体" w:eastAsia="宋体" w:cs="宋体"/>
          <w:szCs w:val="21"/>
        </w:rPr>
        <w:t>（制造厂名称）是按国家法律成立的一家制造厂，主要营业地点设在</w:t>
      </w:r>
      <w:r>
        <w:rPr>
          <w:rFonts w:hint="eastAsia" w:ascii="宋体" w:hAnsi="宋体" w:eastAsia="宋体" w:cs="宋体"/>
          <w:szCs w:val="21"/>
          <w:u w:val="single"/>
        </w:rPr>
        <w:t xml:space="preserve">              </w:t>
      </w:r>
      <w:r>
        <w:rPr>
          <w:rFonts w:hint="eastAsia" w:ascii="宋体" w:hAnsi="宋体" w:eastAsia="宋体" w:cs="宋体"/>
          <w:szCs w:val="21"/>
        </w:rPr>
        <w:t>（制造厂地址）。兹指派</w:t>
      </w:r>
      <w:r>
        <w:rPr>
          <w:rFonts w:hint="eastAsia" w:ascii="宋体" w:hAnsi="宋体" w:eastAsia="宋体" w:cs="宋体"/>
          <w:szCs w:val="21"/>
          <w:u w:val="single"/>
        </w:rPr>
        <w:t xml:space="preserve">             </w:t>
      </w:r>
      <w:r>
        <w:rPr>
          <w:rFonts w:hint="eastAsia" w:ascii="宋体" w:hAnsi="宋体" w:eastAsia="宋体" w:cs="宋体"/>
          <w:szCs w:val="21"/>
        </w:rPr>
        <w:t>（供应商名称）作为我方真正的合法的代理人进行下列有效的活动：</w:t>
      </w:r>
    </w:p>
    <w:p>
      <w:pPr>
        <w:widowControl/>
        <w:snapToGrid w:val="0"/>
        <w:spacing w:line="500" w:lineRule="exact"/>
        <w:ind w:left="840" w:leftChars="100" w:hanging="630" w:hangingChars="300"/>
        <w:jc w:val="left"/>
        <w:rPr>
          <w:rFonts w:ascii="宋体" w:hAnsi="宋体" w:eastAsia="宋体" w:cs="宋体"/>
          <w:szCs w:val="21"/>
        </w:rPr>
      </w:pPr>
      <w:r>
        <w:rPr>
          <w:rFonts w:hint="eastAsia" w:ascii="宋体" w:hAnsi="宋体" w:eastAsia="宋体" w:cs="宋体"/>
          <w:szCs w:val="21"/>
        </w:rPr>
        <w:t>（1）  代表我方办理贵方编号为</w:t>
      </w:r>
      <w:r>
        <w:rPr>
          <w:rFonts w:hint="eastAsia" w:ascii="宋体" w:hAnsi="宋体" w:eastAsia="宋体" w:cs="宋体"/>
          <w:szCs w:val="21"/>
          <w:u w:val="single"/>
        </w:rPr>
        <w:t xml:space="preserve">               </w:t>
      </w:r>
      <w:r>
        <w:rPr>
          <w:rFonts w:hint="eastAsia" w:ascii="宋体" w:hAnsi="宋体" w:eastAsia="宋体" w:cs="宋体"/>
          <w:szCs w:val="21"/>
        </w:rPr>
        <w:t>的招标文件要求提供的由我方制造的</w:t>
      </w:r>
      <w:r>
        <w:rPr>
          <w:rFonts w:hint="eastAsia" w:ascii="宋体" w:hAnsi="宋体" w:eastAsia="宋体" w:cs="宋体"/>
          <w:szCs w:val="21"/>
          <w:u w:val="single"/>
        </w:rPr>
        <w:t xml:space="preserve">               </w:t>
      </w:r>
      <w:r>
        <w:rPr>
          <w:rFonts w:hint="eastAsia" w:ascii="宋体" w:hAnsi="宋体" w:eastAsia="宋体" w:cs="宋体"/>
          <w:szCs w:val="21"/>
        </w:rPr>
        <w:t>（货物名称）的有关事宜，并对我方具有约束力。</w:t>
      </w:r>
    </w:p>
    <w:p>
      <w:pPr>
        <w:widowControl/>
        <w:snapToGrid w:val="0"/>
        <w:spacing w:line="500" w:lineRule="exact"/>
        <w:ind w:left="840" w:leftChars="100" w:hanging="630" w:hangingChars="300"/>
        <w:jc w:val="left"/>
        <w:rPr>
          <w:rFonts w:ascii="宋体" w:hAnsi="宋体" w:eastAsia="宋体" w:cs="宋体"/>
          <w:szCs w:val="21"/>
        </w:rPr>
      </w:pPr>
      <w:r>
        <w:rPr>
          <w:rFonts w:hint="eastAsia" w:ascii="宋体" w:hAnsi="宋体" w:eastAsia="宋体" w:cs="宋体"/>
          <w:szCs w:val="21"/>
        </w:rPr>
        <w:t>（2）  作为制造厂，我方保证以投标合作者来约束自己，并对该投标共同和分别负责。</w:t>
      </w:r>
    </w:p>
    <w:p>
      <w:pPr>
        <w:widowControl/>
        <w:kinsoku w:val="0"/>
        <w:overflowPunct w:val="0"/>
        <w:adjustRightInd w:val="0"/>
        <w:snapToGrid w:val="0"/>
        <w:spacing w:line="500" w:lineRule="exact"/>
        <w:ind w:left="840" w:leftChars="100" w:hanging="630" w:hangingChars="300"/>
        <w:jc w:val="left"/>
        <w:rPr>
          <w:rFonts w:ascii="宋体" w:hAnsi="宋体" w:eastAsia="宋体" w:cs="宋体"/>
          <w:szCs w:val="21"/>
        </w:rPr>
      </w:pPr>
      <w:r>
        <w:rPr>
          <w:rFonts w:hint="eastAsia" w:ascii="宋体" w:hAnsi="宋体" w:eastAsia="宋体" w:cs="宋体"/>
          <w:szCs w:val="21"/>
        </w:rPr>
        <w:t>（3）  我方兹授予</w:t>
      </w:r>
      <w:r>
        <w:rPr>
          <w:rFonts w:hint="eastAsia" w:ascii="宋体" w:hAnsi="宋体" w:eastAsia="宋体" w:cs="宋体"/>
          <w:szCs w:val="21"/>
          <w:u w:val="single"/>
        </w:rPr>
        <w:t xml:space="preserve">            </w:t>
      </w:r>
      <w:r>
        <w:rPr>
          <w:rFonts w:hint="eastAsia" w:ascii="宋体" w:hAnsi="宋体" w:eastAsia="宋体" w:cs="宋体"/>
          <w:szCs w:val="21"/>
        </w:rPr>
        <w:t xml:space="preserve">（供应商名称）全权办理和履行我方为完成上述各点所必须的事宜。兹确认   </w:t>
      </w:r>
    </w:p>
    <w:p>
      <w:pPr>
        <w:widowControl/>
        <w:kinsoku w:val="0"/>
        <w:overflowPunct w:val="0"/>
        <w:adjustRightInd w:val="0"/>
        <w:snapToGrid w:val="0"/>
        <w:spacing w:line="500" w:lineRule="exact"/>
        <w:ind w:left="840" w:leftChars="100" w:hanging="630" w:hangingChars="300"/>
        <w:jc w:val="lef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（供应商名称）及其正式授权代表依此办理一切合法事宜。</w:t>
      </w:r>
    </w:p>
    <w:p>
      <w:pPr>
        <w:widowControl/>
        <w:snapToGrid w:val="0"/>
        <w:spacing w:line="500" w:lineRule="exact"/>
        <w:jc w:val="left"/>
        <w:rPr>
          <w:rFonts w:ascii="宋体" w:hAnsi="宋体" w:eastAsia="宋体" w:cs="宋体"/>
          <w:szCs w:val="21"/>
        </w:rPr>
      </w:pPr>
      <w:r>
        <w:rPr>
          <w:rFonts w:hint="eastAsia" w:ascii="宋体" w:hAnsi="宋体" w:eastAsia="宋体" w:cs="宋体"/>
          <w:szCs w:val="21"/>
        </w:rPr>
        <w:t>我方于   年   月   日签署本文件，</w:t>
      </w:r>
      <w:r>
        <w:rPr>
          <w:rFonts w:hint="eastAsia" w:ascii="宋体" w:hAnsi="宋体" w:eastAsia="宋体" w:cs="宋体"/>
          <w:szCs w:val="21"/>
          <w:u w:val="single"/>
        </w:rPr>
        <w:t xml:space="preserve">           </w:t>
      </w:r>
      <w:r>
        <w:rPr>
          <w:rFonts w:hint="eastAsia" w:ascii="宋体" w:hAnsi="宋体" w:eastAsia="宋体" w:cs="宋体"/>
          <w:szCs w:val="21"/>
        </w:rPr>
        <w:t>（供应商名称）于    年   月   日接受此文件，以此为证。</w:t>
      </w:r>
    </w:p>
    <w:p>
      <w:pPr>
        <w:autoSpaceDE w:val="0"/>
        <w:autoSpaceDN w:val="0"/>
        <w:adjustRightInd w:val="0"/>
        <w:snapToGrid w:val="0"/>
        <w:spacing w:line="450" w:lineRule="exact"/>
        <w:ind w:firstLine="697"/>
        <w:jc w:val="left"/>
        <w:rPr>
          <w:rFonts w:ascii="宋体" w:hAnsi="宋体" w:eastAsia="宋体" w:cs="宋体"/>
          <w:szCs w:val="21"/>
          <w:u w:val="single"/>
        </w:rPr>
      </w:pPr>
    </w:p>
    <w:p>
      <w:pPr>
        <w:tabs>
          <w:tab w:val="left" w:pos="3940"/>
        </w:tabs>
        <w:autoSpaceDE w:val="0"/>
        <w:autoSpaceDN w:val="0"/>
        <w:adjustRightInd w:val="0"/>
        <w:snapToGrid w:val="0"/>
        <w:spacing w:line="450" w:lineRule="exact"/>
        <w:jc w:val="left"/>
        <w:rPr>
          <w:rFonts w:ascii="宋体" w:hAnsi="宋体" w:eastAsia="宋体" w:cs="宋体"/>
          <w:szCs w:val="21"/>
        </w:rPr>
      </w:pPr>
    </w:p>
    <w:p>
      <w:pPr>
        <w:tabs>
          <w:tab w:val="left" w:pos="3940"/>
        </w:tabs>
        <w:autoSpaceDE w:val="0"/>
        <w:autoSpaceDN w:val="0"/>
        <w:adjustRightInd w:val="0"/>
        <w:snapToGrid w:val="0"/>
        <w:spacing w:line="450" w:lineRule="exact"/>
        <w:jc w:val="left"/>
        <w:rPr>
          <w:rFonts w:ascii="宋体" w:hAnsi="宋体" w:eastAsia="宋体" w:cs="宋体"/>
          <w:szCs w:val="21"/>
        </w:rPr>
      </w:pPr>
    </w:p>
    <w:p>
      <w:pPr>
        <w:tabs>
          <w:tab w:val="left" w:pos="4605"/>
        </w:tabs>
        <w:autoSpaceDE w:val="0"/>
        <w:autoSpaceDN w:val="0"/>
        <w:adjustRightInd w:val="0"/>
        <w:snapToGrid w:val="0"/>
        <w:spacing w:line="500" w:lineRule="exact"/>
        <w:jc w:val="left"/>
        <w:rPr>
          <w:rFonts w:ascii="宋体" w:hAnsi="宋体" w:eastAsia="宋体" w:cs="宋体"/>
          <w:spacing w:val="-10"/>
          <w:szCs w:val="21"/>
        </w:rPr>
      </w:pPr>
      <w:r>
        <w:rPr>
          <w:rFonts w:hint="eastAsia" w:ascii="宋体" w:hAnsi="宋体" w:eastAsia="宋体" w:cs="宋体"/>
          <w:szCs w:val="21"/>
        </w:rPr>
        <w:t>供应商名称(公章)：</w:t>
      </w:r>
      <w:r>
        <w:rPr>
          <w:rFonts w:hint="eastAsia" w:ascii="宋体" w:hAnsi="宋体" w:eastAsia="宋体" w:cs="宋体"/>
          <w:szCs w:val="21"/>
          <w:u w:val="single"/>
        </w:rPr>
        <w:t xml:space="preserve">               </w:t>
      </w:r>
      <w:r>
        <w:rPr>
          <w:rFonts w:hint="eastAsia" w:ascii="宋体" w:hAnsi="宋体" w:eastAsia="宋体" w:cs="宋体"/>
          <w:szCs w:val="21"/>
        </w:rPr>
        <w:tab/>
      </w:r>
      <w:r>
        <w:rPr>
          <w:rFonts w:hint="eastAsia" w:ascii="宋体" w:hAnsi="宋体" w:eastAsia="宋体" w:cs="宋体"/>
          <w:spacing w:val="-10"/>
          <w:szCs w:val="21"/>
        </w:rPr>
        <w:t xml:space="preserve">制造厂名称(公章)： </w:t>
      </w:r>
      <w:r>
        <w:rPr>
          <w:rFonts w:hint="eastAsia" w:ascii="宋体" w:hAnsi="宋体" w:eastAsia="宋体" w:cs="宋体"/>
          <w:spacing w:val="-10"/>
          <w:szCs w:val="21"/>
          <w:u w:val="single"/>
        </w:rPr>
        <w:t xml:space="preserve">                     </w:t>
      </w:r>
      <w:r>
        <w:rPr>
          <w:rFonts w:hint="eastAsia" w:ascii="宋体" w:hAnsi="宋体" w:eastAsia="宋体" w:cs="宋体"/>
          <w:spacing w:val="-10"/>
          <w:szCs w:val="21"/>
        </w:rPr>
        <w:t xml:space="preserve"> </w:t>
      </w:r>
    </w:p>
    <w:p>
      <w:pPr>
        <w:snapToGrid w:val="0"/>
        <w:spacing w:line="500" w:lineRule="exact"/>
        <w:jc w:val="left"/>
        <w:rPr>
          <w:rFonts w:ascii="宋体" w:hAnsi="宋体" w:eastAsia="宋体" w:cs="宋体"/>
          <w:szCs w:val="21"/>
        </w:rPr>
      </w:pPr>
      <w:r>
        <w:rPr>
          <w:rFonts w:hint="eastAsia" w:ascii="宋体" w:hAnsi="宋体" w:eastAsia="宋体" w:cs="宋体"/>
          <w:spacing w:val="-10"/>
          <w:szCs w:val="21"/>
        </w:rPr>
        <w:t xml:space="preserve">签字人职务和部门： </w:t>
      </w:r>
      <w:r>
        <w:rPr>
          <w:rFonts w:hint="eastAsia" w:ascii="宋体" w:hAnsi="宋体" w:eastAsia="宋体" w:cs="宋体"/>
          <w:spacing w:val="-10"/>
          <w:szCs w:val="21"/>
          <w:u w:val="single"/>
        </w:rPr>
        <w:t xml:space="preserve">                    </w:t>
      </w:r>
      <w:r>
        <w:rPr>
          <w:rFonts w:hint="eastAsia" w:ascii="宋体" w:hAnsi="宋体" w:eastAsia="宋体" w:cs="宋体"/>
          <w:spacing w:val="-10"/>
          <w:szCs w:val="21"/>
        </w:rPr>
        <w:t xml:space="preserve">             签字人职务和部门： </w:t>
      </w:r>
      <w:r>
        <w:rPr>
          <w:rFonts w:hint="eastAsia" w:ascii="宋体" w:hAnsi="宋体" w:eastAsia="宋体" w:cs="宋体"/>
          <w:spacing w:val="-10"/>
          <w:szCs w:val="21"/>
          <w:u w:val="single"/>
        </w:rPr>
        <w:t xml:space="preserve">                     </w:t>
      </w:r>
    </w:p>
    <w:p>
      <w:pPr>
        <w:adjustRightInd w:val="0"/>
        <w:snapToGrid w:val="0"/>
        <w:spacing w:line="500" w:lineRule="exact"/>
        <w:jc w:val="left"/>
        <w:rPr>
          <w:rFonts w:ascii="宋体" w:hAnsi="宋体" w:eastAsia="宋体" w:cs="宋体"/>
          <w:szCs w:val="21"/>
        </w:rPr>
      </w:pPr>
      <w:r>
        <w:rPr>
          <w:rFonts w:hint="eastAsia" w:ascii="宋体" w:hAnsi="宋体" w:eastAsia="宋体" w:cs="宋体"/>
          <w:szCs w:val="21"/>
        </w:rPr>
        <w:t xml:space="preserve">签 字 人 签 名： </w:t>
      </w:r>
      <w:r>
        <w:rPr>
          <w:rFonts w:hint="eastAsia" w:ascii="宋体" w:hAnsi="宋体" w:eastAsia="宋体" w:cs="宋体"/>
          <w:szCs w:val="21"/>
          <w:u w:val="single"/>
        </w:rPr>
        <w:t xml:space="preserve">               </w:t>
      </w:r>
      <w:r>
        <w:rPr>
          <w:rFonts w:hint="eastAsia" w:ascii="宋体" w:hAnsi="宋体" w:eastAsia="宋体" w:cs="宋体"/>
          <w:szCs w:val="21"/>
        </w:rPr>
        <w:t xml:space="preserve">            签 字 人 签 名： </w:t>
      </w:r>
      <w:r>
        <w:rPr>
          <w:rFonts w:hint="eastAsia" w:ascii="宋体" w:hAnsi="宋体" w:eastAsia="宋体" w:cs="宋体"/>
          <w:szCs w:val="21"/>
          <w:u w:val="single"/>
        </w:rPr>
        <w:t xml:space="preserve">                 </w:t>
      </w:r>
    </w:p>
    <w:p>
      <w:pPr>
        <w:rPr>
          <w:rFonts w:ascii="宋体" w:hAnsi="宋体" w:eastAsia="宋体" w:cs="宋体"/>
          <w:szCs w:val="21"/>
        </w:rPr>
      </w:pPr>
    </w:p>
    <w:p>
      <w:pPr>
        <w:rPr>
          <w:rFonts w:ascii="宋体" w:hAnsi="宋体" w:eastAsia="宋体" w:cs="宋体"/>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480" w:lineRule="auto"/>
        <w:rPr>
          <w:rFonts w:ascii="宋体" w:hAnsi="宋体" w:eastAsia="宋体" w:cs="宋体"/>
          <w:szCs w:val="21"/>
        </w:rPr>
      </w:pPr>
    </w:p>
    <w:p>
      <w:pPr>
        <w:adjustRightInd w:val="0"/>
        <w:snapToGrid w:val="0"/>
        <w:spacing w:line="360" w:lineRule="auto"/>
        <w:jc w:val="center"/>
        <w:rPr>
          <w:rFonts w:ascii="宋体" w:hAnsi="宋体" w:eastAsia="宋体" w:cs="宋体"/>
          <w:b/>
          <w:sz w:val="24"/>
        </w:rPr>
      </w:pPr>
      <w:r>
        <w:rPr>
          <w:rFonts w:hint="eastAsia" w:ascii="宋体" w:hAnsi="宋体" w:eastAsia="宋体" w:cs="宋体"/>
          <w:szCs w:val="21"/>
        </w:rPr>
        <w:br w:type="page"/>
      </w:r>
      <w:r>
        <w:rPr>
          <w:rStyle w:val="44"/>
          <w:rFonts w:hint="eastAsia" w:ascii="宋体" w:hAnsi="宋体" w:cs="宋体"/>
          <w:sz w:val="24"/>
          <w:szCs w:val="24"/>
        </w:rPr>
        <w:t>十六</w:t>
      </w:r>
      <w:bookmarkStart w:id="87" w:name="_Toc421702740"/>
      <w:r>
        <w:rPr>
          <w:rStyle w:val="44"/>
          <w:rFonts w:hint="eastAsia" w:ascii="宋体" w:hAnsi="宋体" w:cs="宋体"/>
          <w:sz w:val="24"/>
          <w:szCs w:val="24"/>
        </w:rPr>
        <w:t>.技术方案书</w:t>
      </w:r>
      <w:bookmarkEnd w:id="87"/>
    </w:p>
    <w:p>
      <w:pPr>
        <w:adjustRightInd w:val="0"/>
        <w:snapToGrid w:val="0"/>
        <w:spacing w:line="360" w:lineRule="auto"/>
        <w:rPr>
          <w:rFonts w:ascii="宋体" w:hAnsi="宋体" w:eastAsia="宋体" w:cs="宋体"/>
          <w:b/>
          <w:szCs w:val="21"/>
        </w:rPr>
      </w:pPr>
    </w:p>
    <w:p>
      <w:pPr>
        <w:spacing w:line="360" w:lineRule="auto"/>
        <w:rPr>
          <w:rFonts w:ascii="宋体" w:hAnsi="宋体" w:eastAsia="宋体" w:cs="宋体"/>
          <w:szCs w:val="21"/>
        </w:rPr>
      </w:pPr>
      <w:r>
        <w:rPr>
          <w:rFonts w:hint="eastAsia" w:ascii="宋体" w:hAnsi="宋体" w:eastAsia="宋体" w:cs="宋体"/>
          <w:szCs w:val="21"/>
        </w:rPr>
        <w:t>供应商按招标文件要求作出详细描述，内容应包括但不限于：</w:t>
      </w:r>
    </w:p>
    <w:p>
      <w:pPr>
        <w:spacing w:line="360" w:lineRule="auto"/>
        <w:rPr>
          <w:rFonts w:ascii="宋体" w:hAnsi="宋体" w:eastAsia="宋体" w:cs="宋体"/>
          <w:szCs w:val="21"/>
        </w:rPr>
      </w:pPr>
      <w:r>
        <w:rPr>
          <w:rFonts w:hint="eastAsia" w:ascii="宋体" w:hAnsi="宋体" w:eastAsia="宋体" w:cs="宋体"/>
          <w:szCs w:val="21"/>
        </w:rPr>
        <w:t>1.技术方案书。</w:t>
      </w:r>
    </w:p>
    <w:p>
      <w:pPr>
        <w:spacing w:line="360" w:lineRule="auto"/>
        <w:rPr>
          <w:rFonts w:ascii="宋体" w:hAnsi="宋体" w:eastAsia="宋体" w:cs="宋体"/>
          <w:szCs w:val="21"/>
        </w:rPr>
      </w:pPr>
      <w:r>
        <w:rPr>
          <w:rFonts w:hint="eastAsia" w:ascii="宋体" w:hAnsi="宋体" w:eastAsia="宋体" w:cs="宋体"/>
          <w:szCs w:val="21"/>
        </w:rPr>
        <w:t>2.质量保证措施。</w:t>
      </w:r>
    </w:p>
    <w:p>
      <w:pPr>
        <w:spacing w:line="360" w:lineRule="auto"/>
        <w:rPr>
          <w:rFonts w:ascii="宋体" w:hAnsi="宋体" w:eastAsia="宋体" w:cs="宋体"/>
          <w:szCs w:val="21"/>
        </w:rPr>
      </w:pPr>
      <w:r>
        <w:rPr>
          <w:rFonts w:hint="eastAsia" w:ascii="宋体" w:hAnsi="宋体" w:eastAsia="宋体" w:cs="宋体"/>
          <w:szCs w:val="21"/>
        </w:rPr>
        <w:t>3.供应商认为其他需要提供的文件。</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供应商(盖章):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法定代表人或其委托代理人(签字)：                           日期：</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adjustRightInd w:val="0"/>
        <w:snapToGrid w:val="0"/>
        <w:spacing w:line="360" w:lineRule="auto"/>
        <w:jc w:val="center"/>
        <w:rPr>
          <w:rFonts w:ascii="宋体" w:hAnsi="宋体" w:eastAsia="宋体" w:cs="宋体"/>
          <w:b/>
          <w:sz w:val="24"/>
        </w:rPr>
      </w:pPr>
      <w:r>
        <w:rPr>
          <w:rFonts w:hint="eastAsia" w:ascii="宋体" w:hAnsi="宋体" w:eastAsia="宋体" w:cs="宋体"/>
          <w:szCs w:val="21"/>
        </w:rPr>
        <w:br w:type="page"/>
      </w:r>
      <w:r>
        <w:rPr>
          <w:rStyle w:val="44"/>
          <w:rFonts w:hint="eastAsia" w:ascii="宋体" w:hAnsi="宋体" w:cs="宋体"/>
          <w:sz w:val="24"/>
          <w:szCs w:val="24"/>
        </w:rPr>
        <w:t>十七</w:t>
      </w:r>
      <w:bookmarkStart w:id="88" w:name="_Toc421702741"/>
      <w:r>
        <w:rPr>
          <w:rStyle w:val="44"/>
          <w:rFonts w:hint="eastAsia" w:ascii="宋体" w:hAnsi="宋体" w:cs="宋体"/>
          <w:sz w:val="24"/>
          <w:szCs w:val="24"/>
        </w:rPr>
        <w:t>.服务计划书</w:t>
      </w:r>
      <w:bookmarkEnd w:id="88"/>
    </w:p>
    <w:p>
      <w:pPr>
        <w:adjustRightInd w:val="0"/>
        <w:snapToGrid w:val="0"/>
        <w:spacing w:line="360" w:lineRule="auto"/>
        <w:rPr>
          <w:rFonts w:ascii="宋体" w:hAnsi="宋体" w:eastAsia="宋体" w:cs="宋体"/>
          <w:b/>
          <w:szCs w:val="21"/>
        </w:rPr>
      </w:pPr>
    </w:p>
    <w:p>
      <w:pPr>
        <w:rPr>
          <w:rFonts w:ascii="宋体" w:hAnsi="宋体" w:eastAsia="宋体" w:cs="宋体"/>
          <w:kern w:val="0"/>
          <w:szCs w:val="21"/>
        </w:rPr>
      </w:pPr>
      <w:r>
        <w:rPr>
          <w:rFonts w:hint="eastAsia" w:ascii="宋体" w:hAnsi="宋体" w:eastAsia="宋体" w:cs="宋体"/>
          <w:kern w:val="0"/>
          <w:szCs w:val="21"/>
        </w:rPr>
        <w:t>供应商应提供对所供服务的详细计划，包括：</w:t>
      </w:r>
    </w:p>
    <w:p>
      <w:pPr>
        <w:rPr>
          <w:rFonts w:ascii="宋体" w:hAnsi="宋体" w:eastAsia="宋体" w:cs="宋体"/>
          <w:kern w:val="0"/>
          <w:szCs w:val="21"/>
        </w:rPr>
      </w:pPr>
      <w:r>
        <w:rPr>
          <w:rFonts w:hint="eastAsia" w:ascii="宋体" w:hAnsi="宋体" w:eastAsia="宋体" w:cs="宋体"/>
          <w:kern w:val="0"/>
          <w:szCs w:val="21"/>
        </w:rPr>
        <w:t xml:space="preserve">1．提供服务响应时间等详细内容。 </w:t>
      </w:r>
    </w:p>
    <w:p>
      <w:pPr>
        <w:rPr>
          <w:rFonts w:ascii="宋体" w:hAnsi="宋体" w:eastAsia="宋体" w:cs="宋体"/>
          <w:kern w:val="0"/>
          <w:szCs w:val="21"/>
        </w:rPr>
      </w:pPr>
      <w:r>
        <w:rPr>
          <w:rFonts w:hint="eastAsia" w:ascii="宋体" w:hAnsi="宋体" w:eastAsia="宋体" w:cs="宋体"/>
          <w:kern w:val="0"/>
          <w:szCs w:val="21"/>
        </w:rPr>
        <w:t>2．服务的人员和机构保障。详细说明提供服务的服务人员和机构情况。</w:t>
      </w:r>
    </w:p>
    <w:p>
      <w:pPr>
        <w:rPr>
          <w:rFonts w:ascii="宋体" w:hAnsi="宋体" w:eastAsia="宋体" w:cs="宋体"/>
          <w:kern w:val="0"/>
          <w:szCs w:val="21"/>
        </w:rPr>
      </w:pPr>
      <w:r>
        <w:rPr>
          <w:rFonts w:hint="eastAsia" w:ascii="宋体" w:hAnsi="宋体" w:eastAsia="宋体" w:cs="宋体"/>
          <w:kern w:val="0"/>
          <w:szCs w:val="21"/>
        </w:rPr>
        <w:t>3．供应商认为需加以说明的其它内容。</w:t>
      </w:r>
    </w:p>
    <w:p>
      <w:pPr>
        <w:rPr>
          <w:rFonts w:ascii="宋体" w:hAnsi="宋体" w:eastAsia="宋体" w:cs="宋体"/>
          <w:kern w:val="0"/>
          <w:szCs w:val="21"/>
        </w:rPr>
      </w:pPr>
    </w:p>
    <w:p>
      <w:pPr>
        <w:rPr>
          <w:rFonts w:ascii="宋体" w:hAnsi="宋体" w:eastAsia="宋体" w:cs="宋体"/>
          <w:kern w:val="0"/>
          <w:szCs w:val="21"/>
        </w:rPr>
      </w:pPr>
    </w:p>
    <w:p>
      <w:pPr>
        <w:rPr>
          <w:rFonts w:ascii="宋体" w:hAnsi="宋体" w:eastAsia="宋体" w:cs="宋体"/>
          <w:kern w:val="0"/>
          <w:szCs w:val="21"/>
        </w:rPr>
      </w:pPr>
    </w:p>
    <w:p>
      <w:pPr>
        <w:rPr>
          <w:rFonts w:ascii="宋体" w:hAnsi="宋体" w:eastAsia="宋体" w:cs="宋体"/>
          <w:kern w:val="0"/>
          <w:szCs w:val="21"/>
        </w:rPr>
      </w:pPr>
    </w:p>
    <w:p>
      <w:pPr>
        <w:rPr>
          <w:rFonts w:ascii="宋体" w:hAnsi="宋体" w:eastAsia="宋体" w:cs="宋体"/>
          <w:kern w:val="0"/>
          <w:szCs w:val="21"/>
        </w:rPr>
      </w:pPr>
      <w:r>
        <w:rPr>
          <w:rFonts w:hint="eastAsia" w:ascii="宋体" w:hAnsi="宋体" w:eastAsia="宋体" w:cs="宋体"/>
          <w:kern w:val="0"/>
          <w:szCs w:val="21"/>
        </w:rPr>
        <w:t>供应商(盖章):</w:t>
      </w:r>
    </w:p>
    <w:p>
      <w:pPr>
        <w:adjustRightInd w:val="0"/>
        <w:snapToGrid w:val="0"/>
        <w:spacing w:line="490" w:lineRule="exact"/>
        <w:rPr>
          <w:rFonts w:ascii="宋体" w:hAnsi="宋体" w:eastAsia="宋体" w:cs="宋体"/>
          <w:szCs w:val="21"/>
        </w:rPr>
      </w:pPr>
      <w:r>
        <w:rPr>
          <w:rFonts w:hint="eastAsia" w:ascii="宋体" w:hAnsi="宋体" w:eastAsia="宋体" w:cs="宋体"/>
          <w:kern w:val="0"/>
          <w:szCs w:val="21"/>
        </w:rPr>
        <w:t>法定代表人或其委托代理人(签字)：                           日期：</w:t>
      </w:r>
    </w:p>
    <w:p>
      <w:pPr>
        <w:adjustRightInd w:val="0"/>
        <w:snapToGrid w:val="0"/>
        <w:spacing w:line="490" w:lineRule="exact"/>
        <w:rPr>
          <w:rFonts w:ascii="宋体" w:hAnsi="宋体" w:eastAsia="宋体" w:cs="宋体"/>
          <w:szCs w:val="21"/>
        </w:rPr>
      </w:pPr>
    </w:p>
    <w:p>
      <w:pPr>
        <w:adjustRightInd w:val="0"/>
        <w:snapToGrid w:val="0"/>
        <w:spacing w:line="360" w:lineRule="auto"/>
        <w:jc w:val="center"/>
        <w:rPr>
          <w:rFonts w:ascii="宋体" w:hAnsi="宋体" w:eastAsia="宋体" w:cs="宋体"/>
          <w:b/>
          <w:sz w:val="24"/>
        </w:rPr>
      </w:pPr>
      <w:r>
        <w:rPr>
          <w:rFonts w:hint="eastAsia" w:ascii="宋体" w:hAnsi="宋体" w:eastAsia="宋体" w:cs="宋体"/>
          <w:szCs w:val="21"/>
        </w:rPr>
        <w:br w:type="page"/>
      </w:r>
      <w:r>
        <w:rPr>
          <w:rStyle w:val="44"/>
          <w:rFonts w:hint="eastAsia" w:ascii="宋体" w:hAnsi="宋体" w:cs="宋体"/>
          <w:sz w:val="24"/>
          <w:szCs w:val="24"/>
        </w:rPr>
        <w:t>十八</w:t>
      </w:r>
      <w:bookmarkStart w:id="89" w:name="_Toc421702742"/>
      <w:r>
        <w:rPr>
          <w:rStyle w:val="44"/>
          <w:rFonts w:hint="eastAsia" w:ascii="宋体" w:hAnsi="宋体" w:cs="宋体"/>
          <w:sz w:val="24"/>
          <w:szCs w:val="24"/>
        </w:rPr>
        <w:t>.其他资料</w:t>
      </w:r>
      <w:bookmarkEnd w:id="89"/>
      <w:r>
        <w:rPr>
          <w:rStyle w:val="44"/>
          <w:rFonts w:hint="eastAsia" w:ascii="宋体" w:hAnsi="宋体" w:cs="宋体"/>
          <w:sz w:val="24"/>
          <w:szCs w:val="24"/>
        </w:rPr>
        <w:t>（格式）</w:t>
      </w:r>
    </w:p>
    <w:p>
      <w:pPr>
        <w:adjustRightInd w:val="0"/>
        <w:snapToGrid w:val="0"/>
        <w:spacing w:line="490" w:lineRule="exact"/>
        <w:rPr>
          <w:rFonts w:ascii="宋体" w:hAnsi="宋体" w:eastAsia="宋体" w:cs="宋体"/>
          <w:szCs w:val="21"/>
        </w:rPr>
      </w:pPr>
    </w:p>
    <w:p>
      <w:pPr>
        <w:numPr>
          <w:ilvl w:val="0"/>
          <w:numId w:val="60"/>
        </w:numPr>
        <w:rPr>
          <w:rFonts w:ascii="宋体" w:hAnsi="宋体" w:eastAsia="宋体" w:cs="宋体"/>
          <w:szCs w:val="21"/>
        </w:rPr>
      </w:pPr>
      <w:r>
        <w:rPr>
          <w:rFonts w:hint="eastAsia" w:ascii="宋体" w:hAnsi="宋体" w:eastAsia="宋体" w:cs="宋体"/>
          <w:szCs w:val="21"/>
        </w:rPr>
        <w:t>招标文件要求供应商提交的其它资料；</w:t>
      </w:r>
    </w:p>
    <w:p>
      <w:pPr>
        <w:numPr>
          <w:ilvl w:val="0"/>
          <w:numId w:val="60"/>
        </w:numPr>
        <w:rPr>
          <w:rFonts w:ascii="宋体" w:hAnsi="宋体" w:eastAsia="宋体" w:cs="宋体"/>
          <w:szCs w:val="21"/>
        </w:rPr>
      </w:pPr>
      <w:r>
        <w:rPr>
          <w:rFonts w:hint="eastAsia" w:ascii="宋体" w:hAnsi="宋体" w:eastAsia="宋体" w:cs="宋体"/>
          <w:szCs w:val="21"/>
        </w:rPr>
        <w:t>供应商认为其他需提供的资料。</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供应商(盖章):</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法定代表人或其委托代理人(签字)：                           日期：</w:t>
      </w:r>
    </w:p>
    <w:p>
      <w:pPr>
        <w:adjustRightInd w:val="0"/>
        <w:snapToGrid w:val="0"/>
        <w:spacing w:line="360" w:lineRule="auto"/>
        <w:jc w:val="center"/>
        <w:rPr>
          <w:rFonts w:ascii="宋体" w:hAnsi="宋体" w:eastAsia="宋体" w:cs="宋体"/>
          <w:b/>
          <w:sz w:val="24"/>
        </w:rPr>
      </w:pPr>
      <w:r>
        <w:rPr>
          <w:rFonts w:hint="eastAsia" w:ascii="宋体" w:hAnsi="宋体" w:eastAsia="宋体" w:cs="宋体"/>
          <w:szCs w:val="21"/>
        </w:rPr>
        <w:br w:type="page"/>
      </w:r>
      <w:r>
        <w:rPr>
          <w:rStyle w:val="44"/>
          <w:rFonts w:hint="eastAsia" w:ascii="宋体" w:hAnsi="宋体" w:cs="宋体"/>
          <w:sz w:val="24"/>
          <w:szCs w:val="24"/>
        </w:rPr>
        <w:t>十九.其他个性化分析（格式）</w:t>
      </w:r>
    </w:p>
    <w:p>
      <w:pPr>
        <w:rPr>
          <w:rFonts w:ascii="宋体" w:hAnsi="宋体" w:eastAsia="宋体" w:cs="宋体"/>
          <w:sz w:val="24"/>
        </w:rPr>
      </w:pPr>
    </w:p>
    <w:p>
      <w:pPr>
        <w:rPr>
          <w:rFonts w:ascii="宋体" w:hAnsi="宋体" w:eastAsia="宋体" w:cs="宋体"/>
          <w:szCs w:val="21"/>
        </w:rPr>
      </w:pPr>
      <w:r>
        <w:rPr>
          <w:rFonts w:hint="eastAsia" w:ascii="宋体" w:hAnsi="宋体" w:eastAsia="宋体" w:cs="宋体"/>
          <w:szCs w:val="21"/>
        </w:rPr>
        <w:t>1.供应商根据项目提出的其他个性化分析；</w:t>
      </w:r>
    </w:p>
    <w:p>
      <w:pPr>
        <w:rPr>
          <w:rFonts w:ascii="宋体" w:hAnsi="宋体" w:eastAsia="宋体" w:cs="宋体"/>
          <w:szCs w:val="21"/>
        </w:rPr>
      </w:pPr>
      <w:r>
        <w:rPr>
          <w:rFonts w:hint="eastAsia" w:ascii="宋体" w:hAnsi="宋体" w:eastAsia="宋体" w:cs="宋体"/>
          <w:szCs w:val="21"/>
        </w:rPr>
        <w:t>2.供应商认为其他需提供的资料。</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供应商(盖章):</w:t>
      </w:r>
    </w:p>
    <w:p>
      <w:pPr>
        <w:adjustRightInd w:val="0"/>
        <w:snapToGrid w:val="0"/>
        <w:spacing w:line="360" w:lineRule="auto"/>
        <w:rPr>
          <w:rFonts w:ascii="宋体" w:hAnsi="宋体" w:eastAsia="宋体" w:cs="宋体"/>
          <w:sz w:val="24"/>
        </w:rPr>
      </w:pPr>
      <w:r>
        <w:rPr>
          <w:rFonts w:hint="eastAsia" w:ascii="宋体" w:hAnsi="宋体" w:eastAsia="宋体" w:cs="宋体"/>
          <w:szCs w:val="21"/>
        </w:rPr>
        <w:t>法定代表人或其委托代理人(签字)：                       日期：</w:t>
      </w: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 w:val="24"/>
        </w:rPr>
      </w:pPr>
    </w:p>
    <w:p>
      <w:pPr>
        <w:adjustRightInd w:val="0"/>
        <w:snapToGrid w:val="0"/>
        <w:spacing w:line="360" w:lineRule="auto"/>
        <w:rPr>
          <w:rFonts w:ascii="宋体" w:hAnsi="宋体" w:eastAsia="宋体" w:cs="宋体"/>
          <w:szCs w:val="21"/>
        </w:rPr>
      </w:pPr>
    </w:p>
    <w:p>
      <w:pPr>
        <w:pStyle w:val="3"/>
        <w:jc w:val="center"/>
        <w:rPr>
          <w:rFonts w:ascii="宋体" w:hAnsi="宋体" w:eastAsia="宋体" w:cs="宋体"/>
        </w:rPr>
      </w:pPr>
      <w:r>
        <w:rPr>
          <w:rFonts w:hint="eastAsia" w:ascii="宋体" w:hAnsi="宋体" w:eastAsia="宋体" w:cs="宋体"/>
        </w:rPr>
        <w:t>二十.类似销售业绩</w:t>
      </w:r>
    </w:p>
    <w:p>
      <w:pPr>
        <w:adjustRightInd w:val="0"/>
        <w:snapToGrid w:val="0"/>
        <w:ind w:left="-88" w:leftChars="-42"/>
        <w:jc w:val="center"/>
        <w:outlineLvl w:val="0"/>
        <w:rPr>
          <w:rFonts w:ascii="宋体" w:hAnsi="宋体" w:eastAsia="宋体" w:cs="宋体"/>
          <w:b/>
          <w:sz w:val="24"/>
        </w:rPr>
      </w:pPr>
    </w:p>
    <w:p>
      <w:pPr>
        <w:adjustRightInd w:val="0"/>
        <w:snapToGrid w:val="0"/>
        <w:spacing w:line="360" w:lineRule="auto"/>
        <w:ind w:left="-88" w:leftChars="-42" w:firstLine="210" w:firstLineChars="100"/>
        <w:rPr>
          <w:rFonts w:ascii="宋体" w:hAnsi="宋体" w:eastAsia="宋体" w:cs="宋体"/>
        </w:rPr>
      </w:pPr>
      <w:r>
        <w:rPr>
          <w:rFonts w:hint="eastAsia" w:ascii="宋体" w:hAnsi="宋体" w:eastAsia="宋体" w:cs="宋体"/>
        </w:rPr>
        <w:t>供应商名称:                                                   项目编号:</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61"/>
        <w:gridCol w:w="1862"/>
        <w:gridCol w:w="1939"/>
        <w:gridCol w:w="1071"/>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705"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序号</w:t>
            </w:r>
          </w:p>
        </w:tc>
        <w:tc>
          <w:tcPr>
            <w:tcW w:w="1861"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用户名称</w:t>
            </w:r>
          </w:p>
        </w:tc>
        <w:tc>
          <w:tcPr>
            <w:tcW w:w="1862"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项目名称</w:t>
            </w:r>
          </w:p>
        </w:tc>
        <w:tc>
          <w:tcPr>
            <w:tcW w:w="1939"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项目规模</w:t>
            </w:r>
          </w:p>
          <w:p>
            <w:pPr>
              <w:adjustRightInd w:val="0"/>
              <w:snapToGrid w:val="0"/>
              <w:jc w:val="center"/>
              <w:outlineLvl w:val="0"/>
              <w:rPr>
                <w:rFonts w:ascii="宋体" w:hAnsi="宋体" w:eastAsia="宋体" w:cs="宋体"/>
                <w:szCs w:val="21"/>
              </w:rPr>
            </w:pPr>
            <w:r>
              <w:rPr>
                <w:rFonts w:hint="eastAsia" w:ascii="宋体" w:hAnsi="宋体" w:eastAsia="宋体" w:cs="宋体"/>
                <w:szCs w:val="21"/>
              </w:rPr>
              <w:t>（或中标总金额）</w:t>
            </w:r>
          </w:p>
        </w:tc>
        <w:tc>
          <w:tcPr>
            <w:tcW w:w="1071"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完工日期</w:t>
            </w:r>
          </w:p>
        </w:tc>
        <w:tc>
          <w:tcPr>
            <w:tcW w:w="1282" w:type="dxa"/>
            <w:vAlign w:val="center"/>
          </w:tcPr>
          <w:p>
            <w:pPr>
              <w:adjustRightInd w:val="0"/>
              <w:snapToGrid w:val="0"/>
              <w:jc w:val="center"/>
              <w:outlineLvl w:val="0"/>
              <w:rPr>
                <w:rFonts w:ascii="宋体" w:hAnsi="宋体" w:eastAsia="宋体" w:cs="宋体"/>
                <w:szCs w:val="21"/>
              </w:rPr>
            </w:pPr>
            <w:r>
              <w:rPr>
                <w:rFonts w:hint="eastAsia" w:ascii="宋体" w:hAnsi="宋体" w:eastAsia="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Cs w:val="21"/>
              </w:rPr>
            </w:pPr>
          </w:p>
        </w:tc>
        <w:tc>
          <w:tcPr>
            <w:tcW w:w="1939" w:type="dxa"/>
            <w:vAlign w:val="center"/>
          </w:tcPr>
          <w:p>
            <w:pPr>
              <w:adjustRightInd w:val="0"/>
              <w:snapToGrid w:val="0"/>
              <w:jc w:val="center"/>
              <w:outlineLvl w:val="0"/>
              <w:rPr>
                <w:rFonts w:ascii="宋体" w:hAnsi="宋体" w:eastAsia="宋体" w:cs="宋体"/>
                <w:b/>
                <w:szCs w:val="21"/>
              </w:rPr>
            </w:pPr>
          </w:p>
        </w:tc>
        <w:tc>
          <w:tcPr>
            <w:tcW w:w="1071" w:type="dxa"/>
            <w:vAlign w:val="center"/>
          </w:tcPr>
          <w:p>
            <w:pPr>
              <w:adjustRightInd w:val="0"/>
              <w:snapToGrid w:val="0"/>
              <w:jc w:val="center"/>
              <w:outlineLvl w:val="0"/>
              <w:rPr>
                <w:rFonts w:ascii="宋体" w:hAnsi="宋体" w:eastAsia="宋体" w:cs="宋体"/>
                <w:b/>
                <w:szCs w:val="21"/>
              </w:rPr>
            </w:pPr>
          </w:p>
        </w:tc>
        <w:tc>
          <w:tcPr>
            <w:tcW w:w="1282" w:type="dxa"/>
            <w:vAlign w:val="center"/>
          </w:tcPr>
          <w:p>
            <w:pPr>
              <w:adjustRightInd w:val="0"/>
              <w:snapToGrid w:val="0"/>
              <w:jc w:val="center"/>
              <w:outlineLvl w:val="0"/>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 w:val="24"/>
              </w:rPr>
            </w:pPr>
          </w:p>
        </w:tc>
        <w:tc>
          <w:tcPr>
            <w:tcW w:w="1939" w:type="dxa"/>
            <w:vAlign w:val="center"/>
          </w:tcPr>
          <w:p>
            <w:pPr>
              <w:adjustRightInd w:val="0"/>
              <w:snapToGrid w:val="0"/>
              <w:jc w:val="center"/>
              <w:outlineLvl w:val="0"/>
              <w:rPr>
                <w:rFonts w:ascii="宋体" w:hAnsi="宋体" w:eastAsia="宋体" w:cs="宋体"/>
                <w:b/>
                <w:sz w:val="24"/>
              </w:rPr>
            </w:pPr>
          </w:p>
        </w:tc>
        <w:tc>
          <w:tcPr>
            <w:tcW w:w="1071" w:type="dxa"/>
            <w:vAlign w:val="center"/>
          </w:tcPr>
          <w:p>
            <w:pPr>
              <w:adjustRightInd w:val="0"/>
              <w:snapToGrid w:val="0"/>
              <w:jc w:val="center"/>
              <w:outlineLvl w:val="0"/>
              <w:rPr>
                <w:rFonts w:ascii="宋体" w:hAnsi="宋体" w:eastAsia="宋体" w:cs="宋体"/>
                <w:b/>
                <w:sz w:val="24"/>
              </w:rPr>
            </w:pPr>
          </w:p>
        </w:tc>
        <w:tc>
          <w:tcPr>
            <w:tcW w:w="1282" w:type="dxa"/>
            <w:vAlign w:val="center"/>
          </w:tcPr>
          <w:p>
            <w:pPr>
              <w:adjustRightInd w:val="0"/>
              <w:snapToGrid w:val="0"/>
              <w:jc w:val="center"/>
              <w:outlineLvl w:val="0"/>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 w:val="24"/>
              </w:rPr>
            </w:pPr>
          </w:p>
        </w:tc>
        <w:tc>
          <w:tcPr>
            <w:tcW w:w="1939" w:type="dxa"/>
            <w:vAlign w:val="center"/>
          </w:tcPr>
          <w:p>
            <w:pPr>
              <w:adjustRightInd w:val="0"/>
              <w:snapToGrid w:val="0"/>
              <w:jc w:val="center"/>
              <w:outlineLvl w:val="0"/>
              <w:rPr>
                <w:rFonts w:ascii="宋体" w:hAnsi="宋体" w:eastAsia="宋体" w:cs="宋体"/>
                <w:b/>
                <w:sz w:val="24"/>
              </w:rPr>
            </w:pPr>
          </w:p>
        </w:tc>
        <w:tc>
          <w:tcPr>
            <w:tcW w:w="1071" w:type="dxa"/>
            <w:vAlign w:val="center"/>
          </w:tcPr>
          <w:p>
            <w:pPr>
              <w:adjustRightInd w:val="0"/>
              <w:snapToGrid w:val="0"/>
              <w:jc w:val="center"/>
              <w:outlineLvl w:val="0"/>
              <w:rPr>
                <w:rFonts w:ascii="宋体" w:hAnsi="宋体" w:eastAsia="宋体" w:cs="宋体"/>
                <w:b/>
                <w:sz w:val="24"/>
              </w:rPr>
            </w:pPr>
          </w:p>
        </w:tc>
        <w:tc>
          <w:tcPr>
            <w:tcW w:w="1282" w:type="dxa"/>
            <w:vAlign w:val="center"/>
          </w:tcPr>
          <w:p>
            <w:pPr>
              <w:adjustRightInd w:val="0"/>
              <w:snapToGrid w:val="0"/>
              <w:jc w:val="center"/>
              <w:outlineLvl w:val="0"/>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 w:val="24"/>
              </w:rPr>
            </w:pPr>
          </w:p>
        </w:tc>
        <w:tc>
          <w:tcPr>
            <w:tcW w:w="1939" w:type="dxa"/>
            <w:vAlign w:val="center"/>
          </w:tcPr>
          <w:p>
            <w:pPr>
              <w:adjustRightInd w:val="0"/>
              <w:snapToGrid w:val="0"/>
              <w:jc w:val="center"/>
              <w:outlineLvl w:val="0"/>
              <w:rPr>
                <w:rFonts w:ascii="宋体" w:hAnsi="宋体" w:eastAsia="宋体" w:cs="宋体"/>
                <w:b/>
                <w:sz w:val="24"/>
              </w:rPr>
            </w:pPr>
          </w:p>
        </w:tc>
        <w:tc>
          <w:tcPr>
            <w:tcW w:w="1071" w:type="dxa"/>
            <w:vAlign w:val="center"/>
          </w:tcPr>
          <w:p>
            <w:pPr>
              <w:adjustRightInd w:val="0"/>
              <w:snapToGrid w:val="0"/>
              <w:jc w:val="center"/>
              <w:outlineLvl w:val="0"/>
              <w:rPr>
                <w:rFonts w:ascii="宋体" w:hAnsi="宋体" w:eastAsia="宋体" w:cs="宋体"/>
                <w:b/>
                <w:sz w:val="24"/>
              </w:rPr>
            </w:pPr>
          </w:p>
        </w:tc>
        <w:tc>
          <w:tcPr>
            <w:tcW w:w="1282" w:type="dxa"/>
            <w:vAlign w:val="center"/>
          </w:tcPr>
          <w:p>
            <w:pPr>
              <w:adjustRightInd w:val="0"/>
              <w:snapToGrid w:val="0"/>
              <w:jc w:val="center"/>
              <w:outlineLvl w:val="0"/>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 w:val="24"/>
              </w:rPr>
            </w:pPr>
          </w:p>
        </w:tc>
        <w:tc>
          <w:tcPr>
            <w:tcW w:w="1939" w:type="dxa"/>
            <w:vAlign w:val="center"/>
          </w:tcPr>
          <w:p>
            <w:pPr>
              <w:adjustRightInd w:val="0"/>
              <w:snapToGrid w:val="0"/>
              <w:jc w:val="center"/>
              <w:outlineLvl w:val="0"/>
              <w:rPr>
                <w:rFonts w:ascii="宋体" w:hAnsi="宋体" w:eastAsia="宋体" w:cs="宋体"/>
                <w:b/>
                <w:sz w:val="24"/>
              </w:rPr>
            </w:pPr>
          </w:p>
        </w:tc>
        <w:tc>
          <w:tcPr>
            <w:tcW w:w="1071" w:type="dxa"/>
            <w:vAlign w:val="center"/>
          </w:tcPr>
          <w:p>
            <w:pPr>
              <w:adjustRightInd w:val="0"/>
              <w:snapToGrid w:val="0"/>
              <w:jc w:val="center"/>
              <w:outlineLvl w:val="0"/>
              <w:rPr>
                <w:rFonts w:ascii="宋体" w:hAnsi="宋体" w:eastAsia="宋体" w:cs="宋体"/>
                <w:b/>
                <w:sz w:val="24"/>
              </w:rPr>
            </w:pPr>
          </w:p>
        </w:tc>
        <w:tc>
          <w:tcPr>
            <w:tcW w:w="1282" w:type="dxa"/>
            <w:vAlign w:val="center"/>
          </w:tcPr>
          <w:p>
            <w:pPr>
              <w:adjustRightInd w:val="0"/>
              <w:snapToGrid w:val="0"/>
              <w:jc w:val="center"/>
              <w:outlineLvl w:val="0"/>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705" w:type="dxa"/>
            <w:vAlign w:val="center"/>
          </w:tcPr>
          <w:p>
            <w:pPr>
              <w:adjustRightInd w:val="0"/>
              <w:snapToGrid w:val="0"/>
              <w:jc w:val="center"/>
              <w:outlineLvl w:val="0"/>
              <w:rPr>
                <w:rFonts w:ascii="宋体" w:hAnsi="宋体" w:eastAsia="宋体" w:cs="宋体"/>
                <w:b/>
                <w:sz w:val="24"/>
              </w:rPr>
            </w:pPr>
          </w:p>
        </w:tc>
        <w:tc>
          <w:tcPr>
            <w:tcW w:w="1861" w:type="dxa"/>
            <w:vAlign w:val="center"/>
          </w:tcPr>
          <w:p>
            <w:pPr>
              <w:adjustRightInd w:val="0"/>
              <w:snapToGrid w:val="0"/>
              <w:jc w:val="center"/>
              <w:outlineLvl w:val="0"/>
              <w:rPr>
                <w:rFonts w:ascii="宋体" w:hAnsi="宋体" w:eastAsia="宋体" w:cs="宋体"/>
                <w:b/>
                <w:sz w:val="24"/>
              </w:rPr>
            </w:pPr>
          </w:p>
        </w:tc>
        <w:tc>
          <w:tcPr>
            <w:tcW w:w="1862" w:type="dxa"/>
            <w:vAlign w:val="center"/>
          </w:tcPr>
          <w:p>
            <w:pPr>
              <w:adjustRightInd w:val="0"/>
              <w:snapToGrid w:val="0"/>
              <w:jc w:val="center"/>
              <w:outlineLvl w:val="0"/>
              <w:rPr>
                <w:rFonts w:ascii="宋体" w:hAnsi="宋体" w:eastAsia="宋体" w:cs="宋体"/>
                <w:b/>
                <w:sz w:val="24"/>
              </w:rPr>
            </w:pPr>
          </w:p>
        </w:tc>
        <w:tc>
          <w:tcPr>
            <w:tcW w:w="1939" w:type="dxa"/>
            <w:vAlign w:val="center"/>
          </w:tcPr>
          <w:p>
            <w:pPr>
              <w:adjustRightInd w:val="0"/>
              <w:snapToGrid w:val="0"/>
              <w:jc w:val="center"/>
              <w:outlineLvl w:val="0"/>
              <w:rPr>
                <w:rFonts w:ascii="宋体" w:hAnsi="宋体" w:eastAsia="宋体" w:cs="宋体"/>
                <w:b/>
                <w:sz w:val="24"/>
              </w:rPr>
            </w:pPr>
          </w:p>
        </w:tc>
        <w:tc>
          <w:tcPr>
            <w:tcW w:w="1071" w:type="dxa"/>
            <w:vAlign w:val="center"/>
          </w:tcPr>
          <w:p>
            <w:pPr>
              <w:adjustRightInd w:val="0"/>
              <w:snapToGrid w:val="0"/>
              <w:jc w:val="center"/>
              <w:outlineLvl w:val="0"/>
              <w:rPr>
                <w:rFonts w:ascii="宋体" w:hAnsi="宋体" w:eastAsia="宋体" w:cs="宋体"/>
                <w:b/>
                <w:sz w:val="24"/>
              </w:rPr>
            </w:pPr>
          </w:p>
        </w:tc>
        <w:tc>
          <w:tcPr>
            <w:tcW w:w="1282" w:type="dxa"/>
            <w:vAlign w:val="center"/>
          </w:tcPr>
          <w:p>
            <w:pPr>
              <w:adjustRightInd w:val="0"/>
              <w:snapToGrid w:val="0"/>
              <w:jc w:val="center"/>
              <w:outlineLvl w:val="0"/>
              <w:rPr>
                <w:rFonts w:ascii="宋体" w:hAnsi="宋体" w:eastAsia="宋体" w:cs="宋体"/>
                <w:b/>
                <w:sz w:val="24"/>
              </w:rPr>
            </w:pPr>
          </w:p>
        </w:tc>
      </w:tr>
    </w:tbl>
    <w:p>
      <w:pPr>
        <w:adjustRightInd w:val="0"/>
        <w:snapToGrid w:val="0"/>
        <w:ind w:left="-88" w:leftChars="-42"/>
        <w:outlineLvl w:val="0"/>
        <w:rPr>
          <w:rFonts w:ascii="宋体" w:hAnsi="宋体" w:eastAsia="宋体" w:cs="宋体"/>
          <w:b/>
          <w:sz w:val="24"/>
        </w:rPr>
      </w:pPr>
    </w:p>
    <w:p>
      <w:pPr>
        <w:adjustRightInd w:val="0"/>
        <w:snapToGrid w:val="0"/>
        <w:spacing w:line="480" w:lineRule="auto"/>
        <w:ind w:left="-88" w:leftChars="-42"/>
        <w:outlineLvl w:val="0"/>
        <w:rPr>
          <w:rFonts w:ascii="宋体" w:hAnsi="宋体" w:eastAsia="宋体" w:cs="宋体"/>
          <w:b/>
          <w:sz w:val="24"/>
        </w:rPr>
      </w:pPr>
      <w:r>
        <w:rPr>
          <w:rFonts w:hint="eastAsia" w:ascii="宋体" w:hAnsi="宋体" w:eastAsia="宋体" w:cs="宋体"/>
          <w:b/>
          <w:szCs w:val="21"/>
        </w:rPr>
        <w:t>注：附合同复印件或中标通知书（须包含合同首页、金额页、签字页）、货物使用方联系人姓名及电话。</w:t>
      </w: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adjustRightInd w:val="0"/>
        <w:snapToGrid w:val="0"/>
        <w:ind w:left="-88" w:leftChars="-42"/>
        <w:outlineLvl w:val="0"/>
        <w:rPr>
          <w:rFonts w:ascii="宋体" w:hAnsi="宋体" w:eastAsia="宋体" w:cs="宋体"/>
          <w:b/>
          <w:sz w:val="24"/>
        </w:rPr>
      </w:pPr>
    </w:p>
    <w:p>
      <w:pPr>
        <w:tabs>
          <w:tab w:val="left" w:pos="5910"/>
        </w:tabs>
        <w:adjustRightInd w:val="0"/>
        <w:snapToGrid w:val="0"/>
        <w:spacing w:line="360" w:lineRule="auto"/>
        <w:ind w:firstLine="1050" w:firstLineChars="500"/>
        <w:rPr>
          <w:rFonts w:ascii="宋体" w:hAnsi="宋体" w:eastAsia="宋体" w:cs="宋体"/>
          <w:szCs w:val="21"/>
        </w:rPr>
      </w:pPr>
      <w:r>
        <w:rPr>
          <w:rFonts w:hint="eastAsia" w:ascii="宋体" w:hAnsi="宋体" w:eastAsia="宋体" w:cs="宋体"/>
          <w:szCs w:val="21"/>
        </w:rPr>
        <w:t>供应商授权代表签字：</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p>
    <w:p>
      <w:pPr>
        <w:adjustRightInd w:val="0"/>
        <w:snapToGrid w:val="0"/>
        <w:spacing w:line="360" w:lineRule="auto"/>
        <w:ind w:firstLine="1050" w:firstLineChars="500"/>
        <w:rPr>
          <w:rFonts w:ascii="宋体" w:hAnsi="宋体" w:eastAsia="宋体" w:cs="宋体"/>
          <w:szCs w:val="21"/>
        </w:rPr>
      </w:pPr>
      <w:r>
        <w:rPr>
          <w:rFonts w:hint="eastAsia" w:ascii="宋体" w:hAnsi="宋体" w:eastAsia="宋体" w:cs="宋体"/>
          <w:szCs w:val="21"/>
        </w:rPr>
        <w:t>供  应  商 （公章）：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p>
    <w:p>
      <w:pPr>
        <w:adjustRightInd w:val="0"/>
        <w:snapToGrid w:val="0"/>
        <w:spacing w:line="360" w:lineRule="auto"/>
        <w:ind w:firstLine="1050" w:firstLineChars="500"/>
        <w:rPr>
          <w:rFonts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490" w:lineRule="exact"/>
        <w:rPr>
          <w:rFonts w:ascii="宋体" w:hAnsi="宋体" w:eastAsia="宋体" w:cs="宋体"/>
          <w:b/>
          <w:sz w:val="24"/>
        </w:rPr>
      </w:pPr>
    </w:p>
    <w:p>
      <w:pPr>
        <w:rPr>
          <w:rFonts w:ascii="宋体" w:hAnsi="宋体" w:eastAsia="宋体" w:cs="宋体"/>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ongti SC Regular">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Theme="minorEastAsia" w:hAnsiTheme="minorEastAsia"/>
        <w:b/>
        <w:bCs/>
      </w:rPr>
    </w:pPr>
    <w:r>
      <w:rPr>
        <w:rFonts w:hint="eastAsia" w:asciiTheme="minorEastAsia" w:hAnsiTheme="minorEastAsia"/>
        <w:bCs/>
      </w:rPr>
      <w:t>湖北国华招标咨询有限公司编制</w:t>
    </w:r>
    <w:r>
      <w:rPr>
        <w:rFonts w:hint="eastAsia"/>
      </w:rPr>
      <w:t xml:space="preserve">                                                                     </w:t>
    </w:r>
    <w:r>
      <w:rPr>
        <w:rFonts w:asciiTheme="minorEastAsia" w:hAnsiTheme="minorEastAsia"/>
        <w:bCs/>
      </w:rPr>
      <w:t>V3.0.2017.0930</w:t>
    </w:r>
  </w:p>
  <w:p>
    <w:pPr>
      <w:pStyle w:val="14"/>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themeColor="text1" w:sz="4" w:space="1"/>
      </w:pBdr>
      <w:tabs>
        <w:tab w:val="clear" w:pos="4153"/>
        <w:tab w:val="clear" w:pos="8306"/>
      </w:tabs>
      <w:rPr>
        <w:rFonts w:asciiTheme="minorEastAsia" w:hAnsiTheme="minorEastAsia"/>
        <w:b/>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dzq2MVAgAAFgQAAA4AAAAAAAAA&#10;AQAgAAAAHwEAAGRycy9lMm9Eb2MueG1sUEsFBgAAAAAGAAYAWQEAAKY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675"/>
        <w:tab w:val="center" w:pos="4762"/>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9"/>
    <w:multiLevelType w:val="multilevel"/>
    <w:tmpl w:val="00000009"/>
    <w:lvl w:ilvl="0" w:tentative="0">
      <w:start w:val="1"/>
      <w:numFmt w:val="decimal"/>
      <w:lvlText w:val="%1、"/>
      <w:lvlJc w:val="left"/>
      <w:pPr>
        <w:tabs>
          <w:tab w:val="left" w:pos="639"/>
        </w:tabs>
        <w:ind w:left="639" w:hanging="360"/>
      </w:pPr>
      <w:rPr>
        <w:rFonts w:hint="eastAsia"/>
      </w:rPr>
    </w:lvl>
    <w:lvl w:ilvl="1" w:tentative="0">
      <w:start w:val="1"/>
      <w:numFmt w:val="lowerLetter"/>
      <w:lvlText w:val="%2)"/>
      <w:lvlJc w:val="left"/>
      <w:pPr>
        <w:tabs>
          <w:tab w:val="left" w:pos="1119"/>
        </w:tabs>
        <w:ind w:left="1119" w:hanging="420"/>
      </w:pPr>
    </w:lvl>
    <w:lvl w:ilvl="2" w:tentative="0">
      <w:start w:val="1"/>
      <w:numFmt w:val="lowerRoman"/>
      <w:lvlText w:val="%3."/>
      <w:lvlJc w:val="right"/>
      <w:pPr>
        <w:tabs>
          <w:tab w:val="left" w:pos="1539"/>
        </w:tabs>
        <w:ind w:left="1539" w:hanging="420"/>
      </w:pPr>
    </w:lvl>
    <w:lvl w:ilvl="3" w:tentative="0">
      <w:start w:val="1"/>
      <w:numFmt w:val="decimal"/>
      <w:lvlText w:val="%4."/>
      <w:lvlJc w:val="left"/>
      <w:pPr>
        <w:tabs>
          <w:tab w:val="left" w:pos="1959"/>
        </w:tabs>
        <w:ind w:left="1959" w:hanging="420"/>
      </w:pPr>
    </w:lvl>
    <w:lvl w:ilvl="4" w:tentative="0">
      <w:start w:val="1"/>
      <w:numFmt w:val="lowerLetter"/>
      <w:lvlText w:val="%5)"/>
      <w:lvlJc w:val="left"/>
      <w:pPr>
        <w:tabs>
          <w:tab w:val="left" w:pos="2379"/>
        </w:tabs>
        <w:ind w:left="2379" w:hanging="420"/>
      </w:pPr>
    </w:lvl>
    <w:lvl w:ilvl="5" w:tentative="0">
      <w:start w:val="1"/>
      <w:numFmt w:val="lowerRoman"/>
      <w:lvlText w:val="%6."/>
      <w:lvlJc w:val="right"/>
      <w:pPr>
        <w:tabs>
          <w:tab w:val="left" w:pos="2799"/>
        </w:tabs>
        <w:ind w:left="2799" w:hanging="420"/>
      </w:pPr>
    </w:lvl>
    <w:lvl w:ilvl="6" w:tentative="0">
      <w:start w:val="1"/>
      <w:numFmt w:val="decimal"/>
      <w:lvlText w:val="%7."/>
      <w:lvlJc w:val="left"/>
      <w:pPr>
        <w:tabs>
          <w:tab w:val="left" w:pos="3219"/>
        </w:tabs>
        <w:ind w:left="3219" w:hanging="420"/>
      </w:pPr>
    </w:lvl>
    <w:lvl w:ilvl="7" w:tentative="0">
      <w:start w:val="1"/>
      <w:numFmt w:val="lowerLetter"/>
      <w:lvlText w:val="%8)"/>
      <w:lvlJc w:val="left"/>
      <w:pPr>
        <w:tabs>
          <w:tab w:val="left" w:pos="3639"/>
        </w:tabs>
        <w:ind w:left="3639" w:hanging="420"/>
      </w:pPr>
    </w:lvl>
    <w:lvl w:ilvl="8" w:tentative="0">
      <w:start w:val="1"/>
      <w:numFmt w:val="lowerRoman"/>
      <w:lvlText w:val="%9."/>
      <w:lvlJc w:val="right"/>
      <w:pPr>
        <w:tabs>
          <w:tab w:val="left" w:pos="4059"/>
        </w:tabs>
        <w:ind w:left="4059" w:hanging="420"/>
      </w:pPr>
    </w:lvl>
  </w:abstractNum>
  <w:abstractNum w:abstractNumId="2">
    <w:nsid w:val="0000000D"/>
    <w:multiLevelType w:val="singleLevel"/>
    <w:tmpl w:val="0000000D"/>
    <w:lvl w:ilvl="0" w:tentative="0">
      <w:start w:val="1"/>
      <w:numFmt w:val="decimal"/>
      <w:lvlText w:val="%1."/>
      <w:lvlJc w:val="left"/>
      <w:pPr>
        <w:tabs>
          <w:tab w:val="left" w:pos="425"/>
        </w:tabs>
        <w:ind w:left="425" w:hanging="425"/>
      </w:pPr>
      <w:rPr>
        <w:rFonts w:hint="default" w:ascii="Times New Roman" w:hAnsi="Times New Roman"/>
      </w:rPr>
    </w:lvl>
  </w:abstractNum>
  <w:abstractNum w:abstractNumId="3">
    <w:nsid w:val="00000011"/>
    <w:multiLevelType w:val="multilevel"/>
    <w:tmpl w:val="00000011"/>
    <w:lvl w:ilvl="0" w:tentative="0">
      <w:start w:val="1"/>
      <w:numFmt w:val="decimal"/>
      <w:lvlText w:val="%1、"/>
      <w:lvlJc w:val="left"/>
      <w:pPr>
        <w:tabs>
          <w:tab w:val="left" w:pos="1305"/>
        </w:tabs>
        <w:ind w:left="1305" w:hanging="360"/>
      </w:pPr>
      <w:rPr>
        <w:rFonts w:hint="default" w:ascii="Times New Roman"/>
        <w:u w:val="none"/>
      </w:rPr>
    </w:lvl>
    <w:lvl w:ilvl="1" w:tentative="0">
      <w:start w:val="1"/>
      <w:numFmt w:val="japaneseCounting"/>
      <w:lvlText w:val="%2、"/>
      <w:lvlJc w:val="left"/>
      <w:pPr>
        <w:tabs>
          <w:tab w:val="left" w:pos="1305"/>
        </w:tabs>
        <w:ind w:left="1305" w:hanging="465"/>
      </w:pPr>
      <w:rPr>
        <w:rFonts w:hint="default" w:ascii="黑体"/>
        <w:u w:val="none"/>
      </w:rPr>
    </w:lvl>
    <w:lvl w:ilvl="2" w:tentative="0">
      <w:start w:val="1"/>
      <w:numFmt w:val="decimal"/>
      <w:lvlText w:val="%3)"/>
      <w:lvlJc w:val="left"/>
      <w:pPr>
        <w:tabs>
          <w:tab w:val="left" w:pos="1500"/>
        </w:tabs>
        <w:ind w:left="1500" w:hanging="240"/>
      </w:pPr>
      <w:rPr>
        <w:rFonts w:hint="default" w:ascii="Times New Roman"/>
        <w:u w:val="none"/>
      </w:rPr>
    </w:lvl>
    <w:lvl w:ilvl="3" w:tentative="0">
      <w:start w:val="1"/>
      <w:numFmt w:val="decimal"/>
      <w:lvlText w:val="%4）"/>
      <w:lvlJc w:val="left"/>
      <w:pPr>
        <w:tabs>
          <w:tab w:val="left" w:pos="2040"/>
        </w:tabs>
        <w:ind w:left="2040" w:hanging="360"/>
      </w:pPr>
      <w:rPr>
        <w:rFonts w:hint="default" w:ascii="Times New Roman"/>
        <w:u w:val="none"/>
      </w:rPr>
    </w:lvl>
    <w:lvl w:ilvl="4" w:tentative="0">
      <w:start w:val="1"/>
      <w:numFmt w:val="lowerLetter"/>
      <w:lvlText w:val="%5)"/>
      <w:lvlJc w:val="left"/>
      <w:pPr>
        <w:tabs>
          <w:tab w:val="left" w:pos="2520"/>
        </w:tabs>
        <w:ind w:left="2520" w:hanging="420"/>
      </w:pPr>
      <w:rPr>
        <w:rFonts w:hint="default" w:ascii="Times New Roman"/>
        <w:u w:val="none"/>
      </w:rPr>
    </w:lvl>
    <w:lvl w:ilvl="5" w:tentative="0">
      <w:start w:val="1"/>
      <w:numFmt w:val="lowerRoman"/>
      <w:lvlText w:val="%6."/>
      <w:lvlJc w:val="right"/>
      <w:pPr>
        <w:tabs>
          <w:tab w:val="left" w:pos="2940"/>
        </w:tabs>
        <w:ind w:left="2940" w:hanging="420"/>
      </w:pPr>
      <w:rPr>
        <w:rFonts w:hint="default" w:ascii="Times New Roman"/>
        <w:u w:val="none"/>
      </w:rPr>
    </w:lvl>
    <w:lvl w:ilvl="6" w:tentative="0">
      <w:start w:val="1"/>
      <w:numFmt w:val="decimal"/>
      <w:lvlText w:val="%7."/>
      <w:lvlJc w:val="left"/>
      <w:pPr>
        <w:tabs>
          <w:tab w:val="left" w:pos="3360"/>
        </w:tabs>
        <w:ind w:left="3360" w:hanging="420"/>
      </w:pPr>
      <w:rPr>
        <w:rFonts w:hint="default" w:ascii="Times New Roman"/>
        <w:u w:val="none"/>
      </w:rPr>
    </w:lvl>
    <w:lvl w:ilvl="7" w:tentative="0">
      <w:start w:val="1"/>
      <w:numFmt w:val="lowerLetter"/>
      <w:lvlText w:val="%8)"/>
      <w:lvlJc w:val="left"/>
      <w:pPr>
        <w:tabs>
          <w:tab w:val="left" w:pos="3780"/>
        </w:tabs>
        <w:ind w:left="3780" w:hanging="420"/>
      </w:pPr>
      <w:rPr>
        <w:rFonts w:hint="default" w:ascii="Times New Roman"/>
        <w:u w:val="none"/>
      </w:rPr>
    </w:lvl>
    <w:lvl w:ilvl="8" w:tentative="0">
      <w:start w:val="1"/>
      <w:numFmt w:val="lowerRoman"/>
      <w:lvlText w:val="%9."/>
      <w:lvlJc w:val="right"/>
      <w:pPr>
        <w:tabs>
          <w:tab w:val="left" w:pos="4200"/>
        </w:tabs>
        <w:ind w:left="4200" w:hanging="420"/>
      </w:pPr>
      <w:rPr>
        <w:rFonts w:hint="default" w:ascii="Times New Roman"/>
        <w:u w:val="none"/>
      </w:rPr>
    </w:lvl>
  </w:abstractNum>
  <w:abstractNum w:abstractNumId="4">
    <w:nsid w:val="0000001C"/>
    <w:multiLevelType w:val="multilevel"/>
    <w:tmpl w:val="0000001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6">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9">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3">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5">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D75445E"/>
    <w:multiLevelType w:val="multilevel"/>
    <w:tmpl w:val="1D75445E"/>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8">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0">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1">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5">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EEA7C99"/>
    <w:multiLevelType w:val="multilevel"/>
    <w:tmpl w:val="2EEA7C99"/>
    <w:lvl w:ilvl="0" w:tentative="0">
      <w:start w:val="1"/>
      <w:numFmt w:val="decimal"/>
      <w:lvlText w:val="%1"/>
      <w:lvlJc w:val="center"/>
      <w:pPr>
        <w:ind w:left="420"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9">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6">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567563F"/>
    <w:multiLevelType w:val="multilevel"/>
    <w:tmpl w:val="4567563F"/>
    <w:lvl w:ilvl="0" w:tentative="0">
      <w:start w:val="1"/>
      <w:numFmt w:val="decimal"/>
      <w:lvlText w:val="17.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9">
    <w:nsid w:val="475A1545"/>
    <w:multiLevelType w:val="multilevel"/>
    <w:tmpl w:val="475A1545"/>
    <w:lvl w:ilvl="0" w:tentative="0">
      <w:start w:val="1"/>
      <w:numFmt w:val="decimal"/>
      <w:lvlText w:val="17.8.%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0">
    <w:nsid w:val="49C131F2"/>
    <w:multiLevelType w:val="multilevel"/>
    <w:tmpl w:val="49C131F2"/>
    <w:lvl w:ilvl="0" w:tentative="0">
      <w:start w:val="1"/>
      <w:numFmt w:val="decimal"/>
      <w:lvlText w:val="1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9">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1">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58">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41"/>
  </w:num>
  <w:num w:numId="2">
    <w:abstractNumId w:val="29"/>
  </w:num>
  <w:num w:numId="3">
    <w:abstractNumId w:val="44"/>
  </w:num>
  <w:num w:numId="4">
    <w:abstractNumId w:val="7"/>
  </w:num>
  <w:num w:numId="5">
    <w:abstractNumId w:val="36"/>
  </w:num>
  <w:num w:numId="6">
    <w:abstractNumId w:val="15"/>
  </w:num>
  <w:num w:numId="7">
    <w:abstractNumId w:val="9"/>
  </w:num>
  <w:num w:numId="8">
    <w:abstractNumId w:val="50"/>
  </w:num>
  <w:num w:numId="9">
    <w:abstractNumId w:val="31"/>
  </w:num>
  <w:num w:numId="10">
    <w:abstractNumId w:val="47"/>
  </w:num>
  <w:num w:numId="11">
    <w:abstractNumId w:val="28"/>
  </w:num>
  <w:num w:numId="12">
    <w:abstractNumId w:val="8"/>
  </w:num>
  <w:num w:numId="13">
    <w:abstractNumId w:val="21"/>
  </w:num>
  <w:num w:numId="14">
    <w:abstractNumId w:val="22"/>
  </w:num>
  <w:num w:numId="15">
    <w:abstractNumId w:val="12"/>
  </w:num>
  <w:num w:numId="16">
    <w:abstractNumId w:val="11"/>
  </w:num>
  <w:num w:numId="17">
    <w:abstractNumId w:val="55"/>
  </w:num>
  <w:num w:numId="18">
    <w:abstractNumId w:val="40"/>
  </w:num>
  <w:num w:numId="19">
    <w:abstractNumId w:val="38"/>
  </w:num>
  <w:num w:numId="20">
    <w:abstractNumId w:val="39"/>
  </w:num>
  <w:num w:numId="21">
    <w:abstractNumId w:val="13"/>
  </w:num>
  <w:num w:numId="22">
    <w:abstractNumId w:val="27"/>
  </w:num>
  <w:num w:numId="23">
    <w:abstractNumId w:val="33"/>
  </w:num>
  <w:num w:numId="24">
    <w:abstractNumId w:val="35"/>
  </w:num>
  <w:num w:numId="25">
    <w:abstractNumId w:val="58"/>
  </w:num>
  <w:num w:numId="26">
    <w:abstractNumId w:val="45"/>
  </w:num>
  <w:num w:numId="27">
    <w:abstractNumId w:val="53"/>
  </w:num>
  <w:num w:numId="28">
    <w:abstractNumId w:val="56"/>
  </w:num>
  <w:num w:numId="29">
    <w:abstractNumId w:val="43"/>
  </w:num>
  <w:num w:numId="30">
    <w:abstractNumId w:val="10"/>
  </w:num>
  <w:num w:numId="31">
    <w:abstractNumId w:val="20"/>
  </w:num>
  <w:num w:numId="32">
    <w:abstractNumId w:val="54"/>
  </w:num>
  <w:num w:numId="33">
    <w:abstractNumId w:val="51"/>
  </w:num>
  <w:num w:numId="34">
    <w:abstractNumId w:val="34"/>
  </w:num>
  <w:num w:numId="35">
    <w:abstractNumId w:val="49"/>
  </w:num>
  <w:num w:numId="36">
    <w:abstractNumId w:val="23"/>
  </w:num>
  <w:num w:numId="37">
    <w:abstractNumId w:val="52"/>
  </w:num>
  <w:num w:numId="38">
    <w:abstractNumId w:val="6"/>
  </w:num>
  <w:num w:numId="39">
    <w:abstractNumId w:val="26"/>
  </w:num>
  <w:num w:numId="40">
    <w:abstractNumId w:val="46"/>
  </w:num>
  <w:num w:numId="41">
    <w:abstractNumId w:val="25"/>
  </w:num>
  <w:num w:numId="42">
    <w:abstractNumId w:val="42"/>
  </w:num>
  <w:num w:numId="43">
    <w:abstractNumId w:val="30"/>
  </w:num>
  <w:num w:numId="44">
    <w:abstractNumId w:val="37"/>
  </w:num>
  <w:num w:numId="45">
    <w:abstractNumId w:val="32"/>
  </w:num>
  <w:num w:numId="46">
    <w:abstractNumId w:val="18"/>
  </w:num>
  <w:num w:numId="47">
    <w:abstractNumId w:val="48"/>
  </w:num>
  <w:num w:numId="48">
    <w:abstractNumId w:val="59"/>
  </w:num>
  <w:num w:numId="49">
    <w:abstractNumId w:val="19"/>
  </w:num>
  <w:num w:numId="50">
    <w:abstractNumId w:val="17"/>
  </w:num>
  <w:num w:numId="51">
    <w:abstractNumId w:val="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24"/>
  </w:num>
  <w:num w:numId="55">
    <w:abstractNumId w:val="57"/>
  </w:num>
  <w:num w:numId="56">
    <w:abstractNumId w:val="1"/>
  </w:num>
  <w:num w:numId="57">
    <w:abstractNumId w:val="2"/>
  </w:num>
  <w:num w:numId="58">
    <w:abstractNumId w:val="0"/>
  </w:num>
  <w:num w:numId="59">
    <w:abstractNumId w:val="3"/>
  </w:num>
  <w:num w:numId="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16562"/>
    <w:rsid w:val="00017BE8"/>
    <w:rsid w:val="00040B72"/>
    <w:rsid w:val="00046CAA"/>
    <w:rsid w:val="000658A4"/>
    <w:rsid w:val="00077E85"/>
    <w:rsid w:val="000812D6"/>
    <w:rsid w:val="000855FE"/>
    <w:rsid w:val="00092450"/>
    <w:rsid w:val="00095415"/>
    <w:rsid w:val="000B1EA5"/>
    <w:rsid w:val="000B3053"/>
    <w:rsid w:val="000B42CE"/>
    <w:rsid w:val="000C1DBB"/>
    <w:rsid w:val="000C2224"/>
    <w:rsid w:val="000C46E9"/>
    <w:rsid w:val="000D274B"/>
    <w:rsid w:val="000E0271"/>
    <w:rsid w:val="000E4686"/>
    <w:rsid w:val="000F64E0"/>
    <w:rsid w:val="00100585"/>
    <w:rsid w:val="00115660"/>
    <w:rsid w:val="00122C84"/>
    <w:rsid w:val="00124FDC"/>
    <w:rsid w:val="00133220"/>
    <w:rsid w:val="001338E8"/>
    <w:rsid w:val="001428B8"/>
    <w:rsid w:val="00146F7A"/>
    <w:rsid w:val="001641C9"/>
    <w:rsid w:val="001662EC"/>
    <w:rsid w:val="00166FB9"/>
    <w:rsid w:val="00177C62"/>
    <w:rsid w:val="00185E9A"/>
    <w:rsid w:val="001A0AB1"/>
    <w:rsid w:val="001A1335"/>
    <w:rsid w:val="001A2B2A"/>
    <w:rsid w:val="001B03BB"/>
    <w:rsid w:val="001B38CD"/>
    <w:rsid w:val="001C7B23"/>
    <w:rsid w:val="001D2460"/>
    <w:rsid w:val="001D3EE7"/>
    <w:rsid w:val="001E157C"/>
    <w:rsid w:val="001E5D69"/>
    <w:rsid w:val="001E7CEA"/>
    <w:rsid w:val="00222B0D"/>
    <w:rsid w:val="00223408"/>
    <w:rsid w:val="002334D5"/>
    <w:rsid w:val="00233BF0"/>
    <w:rsid w:val="00236772"/>
    <w:rsid w:val="0026342E"/>
    <w:rsid w:val="00276CFD"/>
    <w:rsid w:val="00277541"/>
    <w:rsid w:val="00283CE0"/>
    <w:rsid w:val="00293211"/>
    <w:rsid w:val="00295F64"/>
    <w:rsid w:val="002C38E4"/>
    <w:rsid w:val="002D07BB"/>
    <w:rsid w:val="002D412B"/>
    <w:rsid w:val="002D6CF3"/>
    <w:rsid w:val="003101B9"/>
    <w:rsid w:val="00310B7E"/>
    <w:rsid w:val="00310F98"/>
    <w:rsid w:val="00314B08"/>
    <w:rsid w:val="00316026"/>
    <w:rsid w:val="00320ACF"/>
    <w:rsid w:val="00323F1C"/>
    <w:rsid w:val="00326613"/>
    <w:rsid w:val="00333225"/>
    <w:rsid w:val="0033323B"/>
    <w:rsid w:val="003401FA"/>
    <w:rsid w:val="00352AE1"/>
    <w:rsid w:val="003540BC"/>
    <w:rsid w:val="00361D0F"/>
    <w:rsid w:val="0036309F"/>
    <w:rsid w:val="0036474B"/>
    <w:rsid w:val="00366E30"/>
    <w:rsid w:val="00383221"/>
    <w:rsid w:val="00393E94"/>
    <w:rsid w:val="00394574"/>
    <w:rsid w:val="003B4F8E"/>
    <w:rsid w:val="003B718F"/>
    <w:rsid w:val="003B7A0D"/>
    <w:rsid w:val="003C2008"/>
    <w:rsid w:val="003C6083"/>
    <w:rsid w:val="003C712E"/>
    <w:rsid w:val="003D1759"/>
    <w:rsid w:val="003D5E80"/>
    <w:rsid w:val="003F2B92"/>
    <w:rsid w:val="003F3007"/>
    <w:rsid w:val="00401172"/>
    <w:rsid w:val="00402C27"/>
    <w:rsid w:val="0040679C"/>
    <w:rsid w:val="004110F8"/>
    <w:rsid w:val="004161BA"/>
    <w:rsid w:val="004428CE"/>
    <w:rsid w:val="00452D98"/>
    <w:rsid w:val="00461A36"/>
    <w:rsid w:val="00461DFE"/>
    <w:rsid w:val="00476E59"/>
    <w:rsid w:val="00490880"/>
    <w:rsid w:val="004A4F81"/>
    <w:rsid w:val="004B118F"/>
    <w:rsid w:val="004B4BED"/>
    <w:rsid w:val="004C1027"/>
    <w:rsid w:val="004C62F7"/>
    <w:rsid w:val="004D548F"/>
    <w:rsid w:val="004E40B4"/>
    <w:rsid w:val="004E48AF"/>
    <w:rsid w:val="004F43AD"/>
    <w:rsid w:val="005025B6"/>
    <w:rsid w:val="00511E96"/>
    <w:rsid w:val="00525A93"/>
    <w:rsid w:val="005437D7"/>
    <w:rsid w:val="00543E0E"/>
    <w:rsid w:val="005445A9"/>
    <w:rsid w:val="00545B0F"/>
    <w:rsid w:val="00545EDA"/>
    <w:rsid w:val="00552BFE"/>
    <w:rsid w:val="00555966"/>
    <w:rsid w:val="00556850"/>
    <w:rsid w:val="00560FA5"/>
    <w:rsid w:val="00573437"/>
    <w:rsid w:val="0057573F"/>
    <w:rsid w:val="00580FFF"/>
    <w:rsid w:val="005813AA"/>
    <w:rsid w:val="005823DB"/>
    <w:rsid w:val="005A58A0"/>
    <w:rsid w:val="005B0C1A"/>
    <w:rsid w:val="005B12FC"/>
    <w:rsid w:val="005B6D3E"/>
    <w:rsid w:val="005B713A"/>
    <w:rsid w:val="005C31D8"/>
    <w:rsid w:val="005E3CD4"/>
    <w:rsid w:val="005F1588"/>
    <w:rsid w:val="00601112"/>
    <w:rsid w:val="00601990"/>
    <w:rsid w:val="00605C0D"/>
    <w:rsid w:val="00623CBB"/>
    <w:rsid w:val="006440C5"/>
    <w:rsid w:val="00646425"/>
    <w:rsid w:val="00663B35"/>
    <w:rsid w:val="00666B23"/>
    <w:rsid w:val="0067786F"/>
    <w:rsid w:val="00680A96"/>
    <w:rsid w:val="006A3DEB"/>
    <w:rsid w:val="006A6C1D"/>
    <w:rsid w:val="006A6C51"/>
    <w:rsid w:val="006A7A3D"/>
    <w:rsid w:val="006C0B5F"/>
    <w:rsid w:val="006C1AF1"/>
    <w:rsid w:val="006C6FDC"/>
    <w:rsid w:val="006D1D6E"/>
    <w:rsid w:val="006D2D5C"/>
    <w:rsid w:val="006E536B"/>
    <w:rsid w:val="006F3E2E"/>
    <w:rsid w:val="00704145"/>
    <w:rsid w:val="00715D0A"/>
    <w:rsid w:val="00722075"/>
    <w:rsid w:val="00725899"/>
    <w:rsid w:val="007318D6"/>
    <w:rsid w:val="00732E91"/>
    <w:rsid w:val="00737211"/>
    <w:rsid w:val="00752E49"/>
    <w:rsid w:val="00772931"/>
    <w:rsid w:val="00774EB7"/>
    <w:rsid w:val="00775A96"/>
    <w:rsid w:val="00780DBA"/>
    <w:rsid w:val="00784AEB"/>
    <w:rsid w:val="00786E84"/>
    <w:rsid w:val="007A27DA"/>
    <w:rsid w:val="007A2D91"/>
    <w:rsid w:val="007A427D"/>
    <w:rsid w:val="007C0DA7"/>
    <w:rsid w:val="007C132C"/>
    <w:rsid w:val="007C1D03"/>
    <w:rsid w:val="007D4DED"/>
    <w:rsid w:val="007D72CF"/>
    <w:rsid w:val="007E3D3C"/>
    <w:rsid w:val="007E57D4"/>
    <w:rsid w:val="007F504A"/>
    <w:rsid w:val="007F6863"/>
    <w:rsid w:val="007F6F97"/>
    <w:rsid w:val="00802536"/>
    <w:rsid w:val="00804419"/>
    <w:rsid w:val="0081086F"/>
    <w:rsid w:val="0081114F"/>
    <w:rsid w:val="00816910"/>
    <w:rsid w:val="00820E08"/>
    <w:rsid w:val="00836E0A"/>
    <w:rsid w:val="00854FEC"/>
    <w:rsid w:val="00863EDD"/>
    <w:rsid w:val="00876E59"/>
    <w:rsid w:val="0088586B"/>
    <w:rsid w:val="008966BE"/>
    <w:rsid w:val="008A30BA"/>
    <w:rsid w:val="008B5601"/>
    <w:rsid w:val="008B6529"/>
    <w:rsid w:val="008D35F1"/>
    <w:rsid w:val="008D3612"/>
    <w:rsid w:val="008D56D7"/>
    <w:rsid w:val="008D5777"/>
    <w:rsid w:val="008D7D59"/>
    <w:rsid w:val="008F1B81"/>
    <w:rsid w:val="008F3383"/>
    <w:rsid w:val="009020C7"/>
    <w:rsid w:val="00906B3D"/>
    <w:rsid w:val="00907388"/>
    <w:rsid w:val="00914F14"/>
    <w:rsid w:val="0093723A"/>
    <w:rsid w:val="009402E6"/>
    <w:rsid w:val="00943F98"/>
    <w:rsid w:val="00947542"/>
    <w:rsid w:val="00954A2F"/>
    <w:rsid w:val="00967D22"/>
    <w:rsid w:val="0097080D"/>
    <w:rsid w:val="009714FE"/>
    <w:rsid w:val="00973398"/>
    <w:rsid w:val="00982AD3"/>
    <w:rsid w:val="009849C0"/>
    <w:rsid w:val="0098774A"/>
    <w:rsid w:val="009944A9"/>
    <w:rsid w:val="00996DEE"/>
    <w:rsid w:val="009A7081"/>
    <w:rsid w:val="009B11C0"/>
    <w:rsid w:val="009B3048"/>
    <w:rsid w:val="009B3424"/>
    <w:rsid w:val="009C3C8E"/>
    <w:rsid w:val="009D36C0"/>
    <w:rsid w:val="00A05AF5"/>
    <w:rsid w:val="00A0777C"/>
    <w:rsid w:val="00A30AE5"/>
    <w:rsid w:val="00A30DFD"/>
    <w:rsid w:val="00A33A80"/>
    <w:rsid w:val="00A36FFA"/>
    <w:rsid w:val="00A37BD6"/>
    <w:rsid w:val="00A40BC9"/>
    <w:rsid w:val="00A46DEF"/>
    <w:rsid w:val="00A51D8F"/>
    <w:rsid w:val="00A52A2B"/>
    <w:rsid w:val="00A61D60"/>
    <w:rsid w:val="00A62860"/>
    <w:rsid w:val="00A813D2"/>
    <w:rsid w:val="00A879DB"/>
    <w:rsid w:val="00A9071B"/>
    <w:rsid w:val="00AB2B17"/>
    <w:rsid w:val="00AB3343"/>
    <w:rsid w:val="00AB50A6"/>
    <w:rsid w:val="00AC584B"/>
    <w:rsid w:val="00AD047C"/>
    <w:rsid w:val="00AD52A3"/>
    <w:rsid w:val="00AD634F"/>
    <w:rsid w:val="00AE02A5"/>
    <w:rsid w:val="00AF18BF"/>
    <w:rsid w:val="00B002B6"/>
    <w:rsid w:val="00B0070A"/>
    <w:rsid w:val="00B069AB"/>
    <w:rsid w:val="00B116C9"/>
    <w:rsid w:val="00B161F2"/>
    <w:rsid w:val="00B27499"/>
    <w:rsid w:val="00B36D9B"/>
    <w:rsid w:val="00B52520"/>
    <w:rsid w:val="00B67CCB"/>
    <w:rsid w:val="00B84A3B"/>
    <w:rsid w:val="00B87FFC"/>
    <w:rsid w:val="00B956F2"/>
    <w:rsid w:val="00BA4681"/>
    <w:rsid w:val="00BB78CC"/>
    <w:rsid w:val="00BC386C"/>
    <w:rsid w:val="00BC3AA1"/>
    <w:rsid w:val="00BD0C54"/>
    <w:rsid w:val="00BD62C1"/>
    <w:rsid w:val="00BD681B"/>
    <w:rsid w:val="00BE3563"/>
    <w:rsid w:val="00BF5732"/>
    <w:rsid w:val="00C0257A"/>
    <w:rsid w:val="00C040D1"/>
    <w:rsid w:val="00C1592E"/>
    <w:rsid w:val="00C36DAA"/>
    <w:rsid w:val="00C37FEA"/>
    <w:rsid w:val="00C52140"/>
    <w:rsid w:val="00C64D3E"/>
    <w:rsid w:val="00C6680F"/>
    <w:rsid w:val="00C66ACC"/>
    <w:rsid w:val="00C72415"/>
    <w:rsid w:val="00C7579D"/>
    <w:rsid w:val="00C75E0C"/>
    <w:rsid w:val="00C77E82"/>
    <w:rsid w:val="00C8468C"/>
    <w:rsid w:val="00C9289E"/>
    <w:rsid w:val="00C92F51"/>
    <w:rsid w:val="00CA0F95"/>
    <w:rsid w:val="00CB10F9"/>
    <w:rsid w:val="00CB3DF8"/>
    <w:rsid w:val="00CB413B"/>
    <w:rsid w:val="00CB4E17"/>
    <w:rsid w:val="00CC34D2"/>
    <w:rsid w:val="00CD2E11"/>
    <w:rsid w:val="00CF76A5"/>
    <w:rsid w:val="00D0162D"/>
    <w:rsid w:val="00D14E3A"/>
    <w:rsid w:val="00D204F5"/>
    <w:rsid w:val="00D64AB9"/>
    <w:rsid w:val="00D7177A"/>
    <w:rsid w:val="00D8606E"/>
    <w:rsid w:val="00D90694"/>
    <w:rsid w:val="00D91C8C"/>
    <w:rsid w:val="00DB00B6"/>
    <w:rsid w:val="00DB3C8A"/>
    <w:rsid w:val="00DB4D8A"/>
    <w:rsid w:val="00DC4938"/>
    <w:rsid w:val="00DC51D0"/>
    <w:rsid w:val="00DD6657"/>
    <w:rsid w:val="00DE4A9E"/>
    <w:rsid w:val="00E020AB"/>
    <w:rsid w:val="00E02B75"/>
    <w:rsid w:val="00E05B42"/>
    <w:rsid w:val="00E15A50"/>
    <w:rsid w:val="00E22388"/>
    <w:rsid w:val="00E2369D"/>
    <w:rsid w:val="00E32C21"/>
    <w:rsid w:val="00E34D2C"/>
    <w:rsid w:val="00E41743"/>
    <w:rsid w:val="00E54453"/>
    <w:rsid w:val="00E56B2C"/>
    <w:rsid w:val="00E971BC"/>
    <w:rsid w:val="00EA0C6D"/>
    <w:rsid w:val="00EB1E3A"/>
    <w:rsid w:val="00EB4033"/>
    <w:rsid w:val="00EC0C60"/>
    <w:rsid w:val="00ED0545"/>
    <w:rsid w:val="00EE3C83"/>
    <w:rsid w:val="00EE715C"/>
    <w:rsid w:val="00F04B4C"/>
    <w:rsid w:val="00F05FC4"/>
    <w:rsid w:val="00F152FA"/>
    <w:rsid w:val="00F17360"/>
    <w:rsid w:val="00F242DA"/>
    <w:rsid w:val="00F24BF3"/>
    <w:rsid w:val="00F352B0"/>
    <w:rsid w:val="00F42684"/>
    <w:rsid w:val="00F47226"/>
    <w:rsid w:val="00F5567D"/>
    <w:rsid w:val="00F71C04"/>
    <w:rsid w:val="00F72B3C"/>
    <w:rsid w:val="00FC2E73"/>
    <w:rsid w:val="00FD44A8"/>
    <w:rsid w:val="00FE2024"/>
    <w:rsid w:val="00FE51C1"/>
    <w:rsid w:val="00FF4FBA"/>
    <w:rsid w:val="037B3E2B"/>
    <w:rsid w:val="050959B3"/>
    <w:rsid w:val="063A0293"/>
    <w:rsid w:val="073A2056"/>
    <w:rsid w:val="08107914"/>
    <w:rsid w:val="09811C8A"/>
    <w:rsid w:val="0991470B"/>
    <w:rsid w:val="0E0039D0"/>
    <w:rsid w:val="0E111952"/>
    <w:rsid w:val="0E4C338E"/>
    <w:rsid w:val="0EBE7BC0"/>
    <w:rsid w:val="0F6158C9"/>
    <w:rsid w:val="10521631"/>
    <w:rsid w:val="10A75C8B"/>
    <w:rsid w:val="115E5D3C"/>
    <w:rsid w:val="121160F5"/>
    <w:rsid w:val="13943C0D"/>
    <w:rsid w:val="14C63EE6"/>
    <w:rsid w:val="161152F4"/>
    <w:rsid w:val="17A04A3D"/>
    <w:rsid w:val="17B073B2"/>
    <w:rsid w:val="1D5E5FFB"/>
    <w:rsid w:val="1D825FE0"/>
    <w:rsid w:val="1E360604"/>
    <w:rsid w:val="1FD7671D"/>
    <w:rsid w:val="200253F3"/>
    <w:rsid w:val="20C444CF"/>
    <w:rsid w:val="21B60C6E"/>
    <w:rsid w:val="21C630A6"/>
    <w:rsid w:val="21FF65AE"/>
    <w:rsid w:val="2224287D"/>
    <w:rsid w:val="22814D76"/>
    <w:rsid w:val="22BE6634"/>
    <w:rsid w:val="2624523A"/>
    <w:rsid w:val="262E1DB5"/>
    <w:rsid w:val="266B456E"/>
    <w:rsid w:val="276F56CF"/>
    <w:rsid w:val="27AF591F"/>
    <w:rsid w:val="28E62345"/>
    <w:rsid w:val="2ACC0731"/>
    <w:rsid w:val="2C924B6D"/>
    <w:rsid w:val="2E1268CA"/>
    <w:rsid w:val="2F354C2F"/>
    <w:rsid w:val="32BA1045"/>
    <w:rsid w:val="345D31BD"/>
    <w:rsid w:val="37FC665C"/>
    <w:rsid w:val="382A4226"/>
    <w:rsid w:val="3907247D"/>
    <w:rsid w:val="3AAB1490"/>
    <w:rsid w:val="3D495567"/>
    <w:rsid w:val="3E82764B"/>
    <w:rsid w:val="3EC050CF"/>
    <w:rsid w:val="3F776356"/>
    <w:rsid w:val="3FC07076"/>
    <w:rsid w:val="40495B7D"/>
    <w:rsid w:val="410B2716"/>
    <w:rsid w:val="41564834"/>
    <w:rsid w:val="41B46A25"/>
    <w:rsid w:val="452344D9"/>
    <w:rsid w:val="457D61CE"/>
    <w:rsid w:val="460506EC"/>
    <w:rsid w:val="46865704"/>
    <w:rsid w:val="48CD7A53"/>
    <w:rsid w:val="490A6B05"/>
    <w:rsid w:val="4BF84FEE"/>
    <w:rsid w:val="4C542C55"/>
    <w:rsid w:val="4E320110"/>
    <w:rsid w:val="500C4E4C"/>
    <w:rsid w:val="50CE3EE9"/>
    <w:rsid w:val="523610BC"/>
    <w:rsid w:val="53B02A5F"/>
    <w:rsid w:val="553B1BBB"/>
    <w:rsid w:val="58504DED"/>
    <w:rsid w:val="58D43BB8"/>
    <w:rsid w:val="58D84326"/>
    <w:rsid w:val="5907460A"/>
    <w:rsid w:val="5BAD7794"/>
    <w:rsid w:val="5BC607D8"/>
    <w:rsid w:val="5BFD42A6"/>
    <w:rsid w:val="5C0D2F9B"/>
    <w:rsid w:val="5D1E152A"/>
    <w:rsid w:val="5DB10394"/>
    <w:rsid w:val="601D5935"/>
    <w:rsid w:val="60A03A71"/>
    <w:rsid w:val="61E95151"/>
    <w:rsid w:val="620A558F"/>
    <w:rsid w:val="63476277"/>
    <w:rsid w:val="652037E1"/>
    <w:rsid w:val="659C77EE"/>
    <w:rsid w:val="65D0111E"/>
    <w:rsid w:val="65DE4FF3"/>
    <w:rsid w:val="66836DA6"/>
    <w:rsid w:val="669246F7"/>
    <w:rsid w:val="698A193B"/>
    <w:rsid w:val="6AB637D5"/>
    <w:rsid w:val="6B672431"/>
    <w:rsid w:val="6B7F5937"/>
    <w:rsid w:val="6BFF223D"/>
    <w:rsid w:val="6C79797F"/>
    <w:rsid w:val="6C926B2D"/>
    <w:rsid w:val="6CE04126"/>
    <w:rsid w:val="6E376BBC"/>
    <w:rsid w:val="6E9D6218"/>
    <w:rsid w:val="6F161257"/>
    <w:rsid w:val="6F74168F"/>
    <w:rsid w:val="711F1179"/>
    <w:rsid w:val="71B27AB2"/>
    <w:rsid w:val="72D127C6"/>
    <w:rsid w:val="737623BB"/>
    <w:rsid w:val="73CE5E4C"/>
    <w:rsid w:val="756C0739"/>
    <w:rsid w:val="759C52DE"/>
    <w:rsid w:val="75D376C5"/>
    <w:rsid w:val="76DB06AD"/>
    <w:rsid w:val="79C87543"/>
    <w:rsid w:val="7A431CDF"/>
    <w:rsid w:val="7AEE2DA9"/>
    <w:rsid w:val="7C7E661E"/>
    <w:rsid w:val="7D6378C0"/>
    <w:rsid w:val="7E0B2C34"/>
    <w:rsid w:val="7E256072"/>
    <w:rsid w:val="7EAD7846"/>
    <w:rsid w:val="7F3D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0">
    <w:name w:val="Default Paragraph Font"/>
    <w:semiHidden/>
    <w:unhideWhenUsed/>
    <w:qFormat/>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41"/>
    <w:semiHidden/>
    <w:unhideWhenUsed/>
    <w:qFormat/>
    <w:uiPriority w:val="99"/>
    <w:rPr>
      <w:b/>
      <w:bCs/>
    </w:rPr>
  </w:style>
  <w:style w:type="paragraph" w:styleId="6">
    <w:name w:val="annotation text"/>
    <w:basedOn w:val="1"/>
    <w:link w:val="34"/>
    <w:unhideWhenUsed/>
    <w:qFormat/>
    <w:uiPriority w:val="99"/>
    <w:pPr>
      <w:jc w:val="left"/>
    </w:pPr>
  </w:style>
  <w:style w:type="paragraph" w:styleId="7">
    <w:name w:val="Normal Indent"/>
    <w:basedOn w:val="1"/>
    <w:link w:val="40"/>
    <w:qFormat/>
    <w:uiPriority w:val="0"/>
    <w:pPr>
      <w:ind w:firstLine="420"/>
    </w:pPr>
  </w:style>
  <w:style w:type="paragraph" w:styleId="8">
    <w:name w:val="Document Map"/>
    <w:basedOn w:val="1"/>
    <w:link w:val="50"/>
    <w:semiHidden/>
    <w:unhideWhenUsed/>
    <w:qFormat/>
    <w:uiPriority w:val="99"/>
    <w:rPr>
      <w:rFonts w:ascii="宋体" w:eastAsia="宋体"/>
      <w:sz w:val="18"/>
      <w:szCs w:val="18"/>
    </w:rPr>
  </w:style>
  <w:style w:type="paragraph" w:styleId="9">
    <w:name w:val="Body Text"/>
    <w:basedOn w:val="1"/>
    <w:qFormat/>
    <w:uiPriority w:val="0"/>
    <w:pPr>
      <w:spacing w:after="120"/>
    </w:pPr>
  </w:style>
  <w:style w:type="paragraph" w:styleId="10">
    <w:name w:val="toc 3"/>
    <w:basedOn w:val="1"/>
    <w:next w:val="1"/>
    <w:semiHidden/>
    <w:unhideWhenUsed/>
    <w:qFormat/>
    <w:uiPriority w:val="39"/>
    <w:pPr>
      <w:widowControl/>
      <w:spacing w:after="100" w:line="276" w:lineRule="auto"/>
      <w:ind w:left="440"/>
      <w:jc w:val="left"/>
    </w:pPr>
    <w:rPr>
      <w:kern w:val="0"/>
      <w:sz w:val="22"/>
    </w:rPr>
  </w:style>
  <w:style w:type="paragraph" w:styleId="11">
    <w:name w:val="Plain Text"/>
    <w:basedOn w:val="1"/>
    <w:link w:val="37"/>
    <w:qFormat/>
    <w:uiPriority w:val="0"/>
    <w:rPr>
      <w:rFonts w:ascii="宋体" w:hAnsi="Courier New" w:cs="Courier New"/>
      <w:szCs w:val="21"/>
    </w:rPr>
  </w:style>
  <w:style w:type="paragraph" w:styleId="12">
    <w:name w:val="endnote text"/>
    <w:basedOn w:val="1"/>
    <w:link w:val="36"/>
    <w:semiHidden/>
    <w:unhideWhenUsed/>
    <w:qFormat/>
    <w:uiPriority w:val="99"/>
    <w:pPr>
      <w:snapToGrid w:val="0"/>
      <w:jc w:val="left"/>
    </w:p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7"/>
    <w:next w:val="2"/>
    <w:unhideWhenUsed/>
    <w:qFormat/>
    <w:uiPriority w:val="39"/>
    <w:pPr>
      <w:widowControl/>
      <w:spacing w:line="440" w:lineRule="exact"/>
      <w:jc w:val="left"/>
    </w:pPr>
    <w:rPr>
      <w:rFonts w:eastAsia="黑体"/>
      <w:b/>
      <w:i w:val="0"/>
      <w:kern w:val="0"/>
      <w:sz w:val="28"/>
    </w:rPr>
  </w:style>
  <w:style w:type="paragraph" w:styleId="17">
    <w:name w:val="Quote"/>
    <w:basedOn w:val="1"/>
    <w:next w:val="1"/>
    <w:link w:val="39"/>
    <w:qFormat/>
    <w:uiPriority w:val="29"/>
    <w:rPr>
      <w:i/>
      <w:iCs/>
      <w:color w:val="000000" w:themeColor="text1"/>
      <w14:textFill>
        <w14:solidFill>
          <w14:schemeClr w14:val="tx1"/>
        </w14:solidFill>
      </w14:textFill>
    </w:rPr>
  </w:style>
  <w:style w:type="paragraph" w:styleId="18">
    <w:name w:val="toc 2"/>
    <w:basedOn w:val="17"/>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21">
    <w:name w:val="Strong"/>
    <w:qFormat/>
    <w:uiPriority w:val="22"/>
    <w:rPr>
      <w:b/>
    </w:rPr>
  </w:style>
  <w:style w:type="character" w:styleId="22">
    <w:name w:val="endnote reference"/>
    <w:basedOn w:val="20"/>
    <w:semiHidden/>
    <w:unhideWhenUsed/>
    <w:qFormat/>
    <w:uiPriority w:val="99"/>
    <w:rPr>
      <w:vertAlign w:val="superscript"/>
    </w:rPr>
  </w:style>
  <w:style w:type="character" w:styleId="23">
    <w:name w:val="page number"/>
    <w:basedOn w:val="20"/>
    <w:qFormat/>
    <w:uiPriority w:val="0"/>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qFormat/>
    <w:uiPriority w:val="99"/>
    <w:rPr>
      <w:sz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页眉 Char"/>
    <w:basedOn w:val="20"/>
    <w:link w:val="15"/>
    <w:qFormat/>
    <w:uiPriority w:val="99"/>
    <w:rPr>
      <w:sz w:val="18"/>
      <w:szCs w:val="18"/>
    </w:rPr>
  </w:style>
  <w:style w:type="character" w:customStyle="1" w:styleId="29">
    <w:name w:val="页脚 Char"/>
    <w:basedOn w:val="20"/>
    <w:link w:val="14"/>
    <w:qFormat/>
    <w:uiPriority w:val="99"/>
    <w:rPr>
      <w:sz w:val="18"/>
      <w:szCs w:val="18"/>
    </w:rPr>
  </w:style>
  <w:style w:type="character" w:customStyle="1" w:styleId="30">
    <w:name w:val="批注框文本 Char"/>
    <w:basedOn w:val="20"/>
    <w:link w:val="13"/>
    <w:semiHidden/>
    <w:qFormat/>
    <w:uiPriority w:val="99"/>
    <w:rPr>
      <w:sz w:val="18"/>
      <w:szCs w:val="18"/>
    </w:rPr>
  </w:style>
  <w:style w:type="paragraph" w:styleId="31">
    <w:name w:val="List Paragraph"/>
    <w:basedOn w:val="1"/>
    <w:qFormat/>
    <w:uiPriority w:val="34"/>
    <w:pPr>
      <w:ind w:firstLine="420" w:firstLineChars="200"/>
    </w:pPr>
  </w:style>
  <w:style w:type="character" w:customStyle="1" w:styleId="32">
    <w:name w:val="标题 1 Char"/>
    <w:basedOn w:val="20"/>
    <w:link w:val="2"/>
    <w:qFormat/>
    <w:uiPriority w:val="9"/>
    <w:rPr>
      <w:b/>
      <w:bCs/>
      <w:kern w:val="44"/>
      <w:sz w:val="44"/>
      <w:szCs w:val="44"/>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文字 Char"/>
    <w:basedOn w:val="20"/>
    <w:link w:val="6"/>
    <w:qFormat/>
    <w:uiPriority w:val="99"/>
  </w:style>
  <w:style w:type="character" w:customStyle="1" w:styleId="35">
    <w:name w:val="标题 2 Char"/>
    <w:basedOn w:val="20"/>
    <w:qFormat/>
    <w:uiPriority w:val="9"/>
    <w:rPr>
      <w:rFonts w:asciiTheme="majorHAnsi" w:hAnsiTheme="majorHAnsi" w:eastAsiaTheme="majorEastAsia" w:cstheme="majorBidi"/>
      <w:b/>
      <w:bCs/>
      <w:sz w:val="32"/>
      <w:szCs w:val="32"/>
    </w:rPr>
  </w:style>
  <w:style w:type="character" w:customStyle="1" w:styleId="36">
    <w:name w:val="尾注文本 Char"/>
    <w:basedOn w:val="20"/>
    <w:link w:val="12"/>
    <w:semiHidden/>
    <w:qFormat/>
    <w:uiPriority w:val="99"/>
  </w:style>
  <w:style w:type="character" w:customStyle="1" w:styleId="37">
    <w:name w:val="纯文本 Char"/>
    <w:link w:val="11"/>
    <w:qFormat/>
    <w:uiPriority w:val="0"/>
    <w:rPr>
      <w:rFonts w:ascii="宋体" w:hAnsi="Courier New" w:cs="Courier New"/>
      <w:szCs w:val="21"/>
    </w:rPr>
  </w:style>
  <w:style w:type="character" w:customStyle="1" w:styleId="38">
    <w:name w:val="纯文本 Char1"/>
    <w:basedOn w:val="20"/>
    <w:semiHidden/>
    <w:qFormat/>
    <w:uiPriority w:val="99"/>
    <w:rPr>
      <w:rFonts w:ascii="宋体" w:hAnsi="Courier New" w:eastAsia="宋体" w:cs="Courier New"/>
      <w:szCs w:val="21"/>
    </w:rPr>
  </w:style>
  <w:style w:type="character" w:customStyle="1" w:styleId="39">
    <w:name w:val="引用 Char"/>
    <w:basedOn w:val="20"/>
    <w:link w:val="17"/>
    <w:qFormat/>
    <w:uiPriority w:val="29"/>
    <w:rPr>
      <w:i/>
      <w:iCs/>
      <w:color w:val="000000" w:themeColor="text1"/>
      <w14:textFill>
        <w14:solidFill>
          <w14:schemeClr w14:val="tx1"/>
        </w14:solidFill>
      </w14:textFill>
    </w:rPr>
  </w:style>
  <w:style w:type="character" w:customStyle="1" w:styleId="40">
    <w:name w:val="正文缩进 Char"/>
    <w:link w:val="7"/>
    <w:qFormat/>
    <w:uiPriority w:val="0"/>
  </w:style>
  <w:style w:type="character" w:customStyle="1" w:styleId="41">
    <w:name w:val="批注主题 Char"/>
    <w:basedOn w:val="34"/>
    <w:link w:val="5"/>
    <w:semiHidden/>
    <w:qFormat/>
    <w:uiPriority w:val="99"/>
    <w:rPr>
      <w:b/>
      <w:bCs/>
    </w:rPr>
  </w:style>
  <w:style w:type="character" w:customStyle="1" w:styleId="42">
    <w:name w:val="font01"/>
    <w:basedOn w:val="20"/>
    <w:qFormat/>
    <w:uiPriority w:val="0"/>
    <w:rPr>
      <w:rFonts w:hint="eastAsia" w:ascii="宋体" w:hAnsi="宋体" w:eastAsia="宋体" w:cs="宋体"/>
      <w:color w:val="000000"/>
      <w:sz w:val="18"/>
      <w:szCs w:val="18"/>
      <w:u w:val="none"/>
    </w:rPr>
  </w:style>
  <w:style w:type="paragraph" w:customStyle="1" w:styleId="43">
    <w:name w:val="列出段落5"/>
    <w:basedOn w:val="1"/>
    <w:qFormat/>
    <w:uiPriority w:val="34"/>
    <w:pPr>
      <w:ind w:firstLine="420" w:firstLineChars="200"/>
    </w:pPr>
    <w:rPr>
      <w:rFonts w:ascii="Times New Roman" w:hAnsi="Times New Roman"/>
    </w:rPr>
  </w:style>
  <w:style w:type="character" w:customStyle="1" w:styleId="44">
    <w:name w:val="标题 2 Char1"/>
    <w:link w:val="3"/>
    <w:qFormat/>
    <w:uiPriority w:val="0"/>
    <w:rPr>
      <w:rFonts w:ascii="Cambria" w:hAnsi="Cambria" w:eastAsia="宋体" w:cs="Times New Roman"/>
      <w:b/>
      <w:bCs/>
      <w:sz w:val="32"/>
      <w:szCs w:val="32"/>
    </w:rPr>
  </w:style>
  <w:style w:type="character" w:customStyle="1" w:styleId="45">
    <w:name w:val="font41"/>
    <w:basedOn w:val="20"/>
    <w:qFormat/>
    <w:uiPriority w:val="0"/>
    <w:rPr>
      <w:rFonts w:hint="default" w:ascii="Times New Roman" w:hAnsi="Times New Roman" w:cs="Times New Roman"/>
      <w:color w:val="000000"/>
      <w:sz w:val="18"/>
      <w:szCs w:val="18"/>
      <w:u w:val="none"/>
    </w:rPr>
  </w:style>
  <w:style w:type="character" w:customStyle="1" w:styleId="46">
    <w:name w:val="font21"/>
    <w:basedOn w:val="20"/>
    <w:qFormat/>
    <w:uiPriority w:val="0"/>
    <w:rPr>
      <w:rFonts w:ascii="Songti SC Regular" w:hAnsi="Songti SC Regular" w:eastAsia="Songti SC Regular" w:cs="Songti SC Regular"/>
      <w:color w:val="000000"/>
      <w:sz w:val="24"/>
      <w:szCs w:val="24"/>
      <w:u w:val="none"/>
    </w:rPr>
  </w:style>
  <w:style w:type="character" w:customStyle="1" w:styleId="47">
    <w:name w:val="font11"/>
    <w:basedOn w:val="20"/>
    <w:qFormat/>
    <w:uiPriority w:val="0"/>
    <w:rPr>
      <w:rFonts w:hint="default" w:ascii="Times New Roman" w:hAnsi="Times New Roman" w:cs="Times New Roman"/>
      <w:color w:val="000000"/>
      <w:sz w:val="18"/>
      <w:szCs w:val="18"/>
      <w:u w:val="none"/>
    </w:rPr>
  </w:style>
  <w:style w:type="character" w:customStyle="1" w:styleId="48">
    <w:name w:val="font31"/>
    <w:basedOn w:val="20"/>
    <w:qFormat/>
    <w:uiPriority w:val="0"/>
    <w:rPr>
      <w:rFonts w:hint="default" w:ascii="仿宋_GB2312" w:eastAsia="仿宋_GB2312" w:cs="仿宋_GB2312"/>
      <w:color w:val="000000"/>
      <w:sz w:val="20"/>
      <w:szCs w:val="20"/>
      <w:u w:val="none"/>
    </w:rPr>
  </w:style>
  <w:style w:type="character" w:customStyle="1" w:styleId="49">
    <w:name w:val="font51"/>
    <w:basedOn w:val="20"/>
    <w:qFormat/>
    <w:uiPriority w:val="0"/>
    <w:rPr>
      <w:rFonts w:ascii="仿宋_GB2312" w:eastAsia="仿宋_GB2312" w:cs="仿宋_GB2312"/>
      <w:b/>
      <w:color w:val="000000"/>
      <w:sz w:val="20"/>
      <w:szCs w:val="20"/>
      <w:u w:val="none"/>
    </w:rPr>
  </w:style>
  <w:style w:type="character" w:customStyle="1" w:styleId="50">
    <w:name w:val="文档结构图 Char"/>
    <w:basedOn w:val="20"/>
    <w:link w:val="8"/>
    <w:semiHidden/>
    <w:qFormat/>
    <w:uiPriority w:val="99"/>
    <w:rPr>
      <w:rFonts w:ascii="宋体" w:hAnsiTheme="minorHAnsi" w:cstheme="minorBidi"/>
      <w:kern w:val="2"/>
      <w:sz w:val="18"/>
      <w:szCs w:val="18"/>
    </w:rPr>
  </w:style>
  <w:style w:type="paragraph" w:customStyle="1" w:styleId="51">
    <w:name w:val="Table Paragraph"/>
    <w:basedOn w:val="1"/>
    <w:qFormat/>
    <w:uiPriority w:val="1"/>
    <w:pPr>
      <w:jc w:val="left"/>
    </w:pPr>
    <w:rPr>
      <w:rFonts w:ascii="Calibri" w:hAnsi="Calibri"/>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62E3D-9EE9-4563-BD62-54183F46AFFD}">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5914</Words>
  <Characters>33712</Characters>
  <Lines>280</Lines>
  <Paragraphs>79</Paragraphs>
  <TotalTime>22</TotalTime>
  <ScaleCrop>false</ScaleCrop>
  <LinksUpToDate>false</LinksUpToDate>
  <CharactersWithSpaces>39547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2018-05-29T07:13:00Z</dcterms:created>
  <dc:creator>502-2</dc:creator>
  <cp:lastModifiedBy>快到怀里来1414069180</cp:lastModifiedBy>
  <cp:lastPrinted>2017-10-12T07:11:00Z</cp:lastPrinted>
  <dcterms:modified xsi:type="dcterms:W3CDTF">2018-06-25T03:58:30Z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